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3163" w14:textId="25BE70F8" w:rsidR="0064622A" w:rsidRPr="00796B4F" w:rsidRDefault="0064622A" w:rsidP="0064622A">
      <w:pPr>
        <w:widowControl w:val="0"/>
        <w:tabs>
          <w:tab w:val="left" w:pos="0"/>
        </w:tabs>
        <w:autoSpaceDE w:val="0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796B4F">
        <w:rPr>
          <w:rFonts w:eastAsia="Arial Unicode MS"/>
          <w:b/>
          <w:bCs/>
          <w:color w:val="000000"/>
          <w:sz w:val="28"/>
          <w:szCs w:val="28"/>
        </w:rPr>
        <w:t xml:space="preserve">                                                                                         Załącznik nr 2 do SWZ</w:t>
      </w:r>
    </w:p>
    <w:p w14:paraId="664E6CEA" w14:textId="77777777" w:rsidR="0064622A" w:rsidRPr="00796B4F" w:rsidRDefault="0064622A" w:rsidP="0064622A">
      <w:pPr>
        <w:widowControl w:val="0"/>
        <w:tabs>
          <w:tab w:val="left" w:pos="0"/>
        </w:tabs>
        <w:autoSpaceDE w:val="0"/>
        <w:jc w:val="both"/>
        <w:rPr>
          <w:rFonts w:eastAsia="Arial Unicode MS"/>
          <w:b/>
          <w:bCs/>
          <w:color w:val="000000"/>
          <w:sz w:val="28"/>
          <w:szCs w:val="28"/>
          <w:u w:val="single"/>
        </w:rPr>
      </w:pPr>
    </w:p>
    <w:p w14:paraId="3AF8B471" w14:textId="29918B64" w:rsidR="0064622A" w:rsidRPr="007626CA" w:rsidRDefault="0064622A" w:rsidP="0064622A">
      <w:pPr>
        <w:widowControl w:val="0"/>
        <w:tabs>
          <w:tab w:val="left" w:pos="0"/>
        </w:tabs>
        <w:autoSpaceDE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7626CA">
        <w:rPr>
          <w:rFonts w:eastAsia="Arial Unicode MS"/>
          <w:b/>
          <w:bCs/>
          <w:color w:val="000000"/>
          <w:sz w:val="28"/>
          <w:szCs w:val="28"/>
        </w:rPr>
        <w:t>Opis przedmiotu zamówienia</w:t>
      </w:r>
    </w:p>
    <w:p w14:paraId="4F9D3A31" w14:textId="77777777" w:rsidR="0064622A" w:rsidRPr="00796B4F" w:rsidRDefault="0064622A" w:rsidP="0064622A">
      <w:pPr>
        <w:widowControl w:val="0"/>
        <w:tabs>
          <w:tab w:val="left" w:pos="0"/>
        </w:tabs>
        <w:autoSpaceDE w:val="0"/>
        <w:jc w:val="center"/>
        <w:rPr>
          <w:rFonts w:eastAsia="Arial Unicode MS"/>
          <w:color w:val="000000"/>
        </w:rPr>
      </w:pPr>
    </w:p>
    <w:p w14:paraId="0B6136D7" w14:textId="77777777" w:rsidR="0064622A" w:rsidRPr="00796B4F" w:rsidRDefault="0064622A" w:rsidP="0064622A">
      <w:pPr>
        <w:widowControl w:val="0"/>
        <w:autoSpaceDE w:val="0"/>
        <w:jc w:val="both"/>
      </w:pPr>
      <w:r w:rsidRPr="00796B4F">
        <w:rPr>
          <w:rStyle w:val="Domylnaczcionkaakapitu1"/>
          <w:rFonts w:eastAsia="Arial Unicode MS"/>
          <w:b/>
          <w:color w:val="000000"/>
          <w:sz w:val="28"/>
          <w:szCs w:val="28"/>
        </w:rPr>
        <w:t>1</w:t>
      </w:r>
      <w:r w:rsidRPr="00796B4F">
        <w:rPr>
          <w:rStyle w:val="Domylnaczcionkaakapitu1"/>
          <w:rFonts w:eastAsia="Arial Unicode MS"/>
          <w:b/>
          <w:color w:val="000000"/>
          <w:sz w:val="28"/>
          <w:szCs w:val="28"/>
          <w:u w:val="single"/>
        </w:rPr>
        <w:t>.Ogólna charakterystyka Gminy Nielisz w kontekście odbioru i zagospodarowania odpadów</w:t>
      </w:r>
    </w:p>
    <w:p w14:paraId="2B817EB8" w14:textId="77777777" w:rsidR="0064622A" w:rsidRPr="00796B4F" w:rsidRDefault="0064622A" w:rsidP="0064622A">
      <w:pPr>
        <w:jc w:val="both"/>
      </w:pPr>
      <w:r w:rsidRPr="00796B4F">
        <w:t>Ogólna charakterystyka Gminy Nielisz w kontekście odbioru i zagospodarowania odpadów:</w:t>
      </w:r>
    </w:p>
    <w:p w14:paraId="21E71D8E" w14:textId="0A55E044" w:rsidR="0064622A" w:rsidRPr="00796B4F" w:rsidRDefault="0064622A" w:rsidP="0064622A">
      <w:pPr>
        <w:ind w:left="285" w:hanging="342"/>
        <w:jc w:val="both"/>
        <w:rPr>
          <w:color w:val="000000"/>
        </w:rPr>
      </w:pPr>
      <w:r w:rsidRPr="00796B4F">
        <w:t xml:space="preserve"> Liczba mieszkańców zameldowanych na terenie Gminy Nielisz (stan na 30.09.2021 r.) wynosi – 5482.</w:t>
      </w:r>
    </w:p>
    <w:p w14:paraId="3A6599B7" w14:textId="77777777" w:rsidR="0064622A" w:rsidRPr="00796B4F" w:rsidRDefault="0064622A" w:rsidP="0064622A">
      <w:pPr>
        <w:tabs>
          <w:tab w:val="left" w:pos="228"/>
          <w:tab w:val="left" w:pos="285"/>
        </w:tabs>
        <w:ind w:left="-57"/>
        <w:jc w:val="both"/>
        <w:rPr>
          <w:color w:val="000000"/>
        </w:rPr>
      </w:pPr>
      <w:r w:rsidRPr="00796B4F">
        <w:rPr>
          <w:color w:val="000000"/>
        </w:rPr>
        <w:t>1.1.Na terenie Gminy Nielisz jest: 22 miejscowości tj.</w:t>
      </w:r>
    </w:p>
    <w:p w14:paraId="66C6E61B" w14:textId="77777777" w:rsidR="0064622A" w:rsidRPr="00796B4F" w:rsidRDefault="0064622A" w:rsidP="0064622A">
      <w:pPr>
        <w:tabs>
          <w:tab w:val="left" w:pos="570"/>
          <w:tab w:val="left" w:pos="627"/>
        </w:tabs>
        <w:ind w:left="285" w:hanging="342"/>
        <w:jc w:val="both"/>
        <w:rPr>
          <w:color w:val="000000"/>
        </w:rPr>
      </w:pPr>
      <w:r w:rsidRPr="00796B4F">
        <w:rPr>
          <w:color w:val="000000"/>
        </w:rPr>
        <w:t xml:space="preserve">     - Deszkowice – Kolonia, Gruszka Duża, Gruszka Duża – Kolonia, Gruszka Mała I, Gruszka Mała II, Kolonia Emska, Krzak, Nawóz, Nielisz, ,Ruskie Piaski, Staw Noakowski, Staw Noakowski – Kolonia, Staw Ujazdowski, Staw Ujazdowski – Kolonia, Średnie Duże, Średnie Małe, Ujazdów, Wólka Nieliska, Wólka Złojecka, Zamszany,  Zarudzie , Złojec.</w:t>
      </w:r>
    </w:p>
    <w:p w14:paraId="777697D6" w14:textId="7CCFC175" w:rsidR="0064622A" w:rsidRPr="00796B4F" w:rsidRDefault="0064622A" w:rsidP="0064622A">
      <w:pPr>
        <w:jc w:val="both"/>
        <w:rPr>
          <w:color w:val="000000"/>
        </w:rPr>
      </w:pPr>
      <w:r w:rsidRPr="00796B4F">
        <w:rPr>
          <w:color w:val="000000"/>
        </w:rPr>
        <w:t xml:space="preserve">1.2.Szacunkowa liczba gospodarstw domowych z których będą odbierane odpady wynosi około   1430. </w:t>
      </w:r>
    </w:p>
    <w:p w14:paraId="1BABDA84" w14:textId="77777777" w:rsidR="0064622A" w:rsidRPr="00796B4F" w:rsidRDefault="0064622A" w:rsidP="0064622A">
      <w:pPr>
        <w:tabs>
          <w:tab w:val="left" w:pos="570"/>
          <w:tab w:val="left" w:pos="627"/>
        </w:tabs>
        <w:ind w:left="285" w:hanging="342"/>
        <w:jc w:val="both"/>
      </w:pPr>
      <w:r w:rsidRPr="00796B4F">
        <w:rPr>
          <w:color w:val="000000"/>
        </w:rPr>
        <w:t xml:space="preserve"> W trakcie trwania zamówienia przewiduje się wzrost/zmniejszenie liczby gospodarstw domowych oraz liczby mieszkańców do 15 %.</w:t>
      </w:r>
    </w:p>
    <w:p w14:paraId="2AEAB17A" w14:textId="77777777" w:rsidR="0064622A" w:rsidRPr="00796B4F" w:rsidRDefault="0064622A" w:rsidP="0064622A">
      <w:pPr>
        <w:tabs>
          <w:tab w:val="left" w:pos="627"/>
        </w:tabs>
        <w:jc w:val="both"/>
        <w:rPr>
          <w:rStyle w:val="Domylnaczcionkaakapitu1"/>
        </w:rPr>
      </w:pPr>
      <w:r w:rsidRPr="00796B4F">
        <w:t>1.3.Obszar Gminy Nielisz wynosi   113 km².</w:t>
      </w:r>
      <w:r w:rsidRPr="00796B4F">
        <w:tab/>
      </w:r>
    </w:p>
    <w:p w14:paraId="08A75FA7" w14:textId="192B82DD" w:rsidR="0064622A" w:rsidRPr="00796B4F" w:rsidRDefault="0064622A" w:rsidP="0064622A">
      <w:pPr>
        <w:tabs>
          <w:tab w:val="left" w:pos="-57"/>
        </w:tabs>
        <w:jc w:val="both"/>
      </w:pPr>
      <w:r w:rsidRPr="00796B4F">
        <w:rPr>
          <w:rStyle w:val="Domylnaczcionkaakapitu1"/>
        </w:rPr>
        <w:t>1.4.W okresie od 1 stycznia 20</w:t>
      </w:r>
      <w:r w:rsidR="00F30EE2" w:rsidRPr="00796B4F">
        <w:rPr>
          <w:rStyle w:val="Domylnaczcionkaakapitu1"/>
        </w:rPr>
        <w:t>19</w:t>
      </w:r>
      <w:r w:rsidRPr="00796B4F">
        <w:rPr>
          <w:rStyle w:val="Domylnaczcionkaakapitu1"/>
        </w:rPr>
        <w:t xml:space="preserve"> r. do 3</w:t>
      </w:r>
      <w:r w:rsidR="00F30EE2" w:rsidRPr="00796B4F">
        <w:rPr>
          <w:rStyle w:val="Domylnaczcionkaakapitu1"/>
        </w:rPr>
        <w:t>0</w:t>
      </w:r>
      <w:r w:rsidRPr="00796B4F">
        <w:rPr>
          <w:rStyle w:val="Domylnaczcionkaakapitu1"/>
        </w:rPr>
        <w:t xml:space="preserve"> </w:t>
      </w:r>
      <w:r w:rsidR="00F30EE2" w:rsidRPr="00796B4F">
        <w:rPr>
          <w:rStyle w:val="Domylnaczcionkaakapitu1"/>
        </w:rPr>
        <w:t>września</w:t>
      </w:r>
      <w:r w:rsidRPr="00796B4F">
        <w:rPr>
          <w:rStyle w:val="Domylnaczcionkaakapitu1"/>
        </w:rPr>
        <w:t xml:space="preserve"> 202</w:t>
      </w:r>
      <w:r w:rsidR="00F30EE2" w:rsidRPr="00796B4F">
        <w:rPr>
          <w:rStyle w:val="Domylnaczcionkaakapitu1"/>
        </w:rPr>
        <w:t>1</w:t>
      </w:r>
      <w:r w:rsidRPr="00796B4F">
        <w:rPr>
          <w:rStyle w:val="Domylnaczcionkaakapitu1"/>
        </w:rPr>
        <w:t xml:space="preserve"> r. od właścicieli nieruchomości zamieszkałych na terenie gminy Nielisz odebrano i </w:t>
      </w:r>
      <w:r w:rsidRPr="00796B4F">
        <w:rPr>
          <w:rStyle w:val="Domylnaczcionkaakapitu1"/>
          <w:color w:val="000000"/>
        </w:rPr>
        <w:t>zagospodarowano następujące ilości odpadów:</w:t>
      </w:r>
    </w:p>
    <w:p w14:paraId="3060956E" w14:textId="77777777" w:rsidR="0064622A" w:rsidRPr="00796B4F" w:rsidRDefault="0064622A" w:rsidP="0064622A">
      <w:pPr>
        <w:jc w:val="both"/>
      </w:pPr>
    </w:p>
    <w:tbl>
      <w:tblPr>
        <w:tblW w:w="0" w:type="auto"/>
        <w:tblInd w:w="7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45"/>
        <w:gridCol w:w="1894"/>
        <w:gridCol w:w="1894"/>
        <w:gridCol w:w="1894"/>
      </w:tblGrid>
      <w:tr w:rsidR="00F30EE2" w:rsidRPr="00796B4F" w14:paraId="0E457523" w14:textId="09398268" w:rsidTr="00B74F4D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5168CB" w14:textId="77777777" w:rsidR="00F30EE2" w:rsidRPr="00796B4F" w:rsidRDefault="00F30EE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796B4F">
              <w:rPr>
                <w:b/>
                <w:bCs/>
              </w:rPr>
              <w:t>Rodzaj odpadów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03D346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rPr>
                <w:b/>
                <w:bCs/>
              </w:rPr>
              <w:t>2019 Mg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CD1FB0" w14:textId="77777777" w:rsidR="00F30EE2" w:rsidRPr="00796B4F" w:rsidRDefault="00F30EE2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6B4F">
              <w:rPr>
                <w:b/>
                <w:bCs/>
              </w:rPr>
              <w:t>2020 Mg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729F" w14:textId="2E654A95" w:rsidR="00F30EE2" w:rsidRPr="00796B4F" w:rsidRDefault="00F30EE2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6B4F">
              <w:rPr>
                <w:b/>
                <w:bCs/>
              </w:rPr>
              <w:t>2021 Mg</w:t>
            </w:r>
          </w:p>
        </w:tc>
      </w:tr>
      <w:tr w:rsidR="00F30EE2" w:rsidRPr="00796B4F" w14:paraId="18D5F4C8" w14:textId="55D6295C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B7D29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Niesegregowane(zmieszane) 200301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A12ECE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374,980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D6E87" w14:textId="25410FC8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393,260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D81F8" w14:textId="42B128DC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322,880</w:t>
            </w:r>
          </w:p>
        </w:tc>
      </w:tr>
      <w:tr w:rsidR="00F30EE2" w:rsidRPr="00796B4F" w14:paraId="6546E6D4" w14:textId="7F6FCEDF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1C57EC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Wielkogabarytowe 200307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319633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12,340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BF15A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18,800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41A9" w14:textId="1C7A0804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22,250</w:t>
            </w:r>
          </w:p>
        </w:tc>
      </w:tr>
      <w:tr w:rsidR="00F30EE2" w:rsidRPr="00796B4F" w14:paraId="7F0D209B" w14:textId="2AC3EBF4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24AC0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Zużyte opony 160103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B7E46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4,500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814A8" w14:textId="2069CF90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13,930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B759" w14:textId="2415B4AF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8,120</w:t>
            </w:r>
          </w:p>
        </w:tc>
      </w:tr>
      <w:tr w:rsidR="00F30EE2" w:rsidRPr="00796B4F" w14:paraId="478542A0" w14:textId="5C69A4A7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8E7A0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Zużyte urządzenia elektryczne i elektroniczne 200136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9FF757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0,268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E07F6D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2,180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73E8" w14:textId="48EF4C9C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3,800</w:t>
            </w:r>
          </w:p>
        </w:tc>
      </w:tr>
      <w:tr w:rsidR="00F30EE2" w:rsidRPr="00796B4F" w14:paraId="482A616F" w14:textId="001171F0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59DFA5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Zużyte urządzenia elektryczne i elektroniczne 200135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993D01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4,252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62947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4,760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1D2" w14:textId="17BEAAD1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4,120</w:t>
            </w:r>
          </w:p>
        </w:tc>
      </w:tr>
      <w:tr w:rsidR="00F30EE2" w:rsidRPr="00796B4F" w14:paraId="72C00E7A" w14:textId="714E9084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E8B498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Tworzywa sztuczne 200139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0B586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08D0E" w14:textId="2AF9722E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13,160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0D83" w14:textId="3F56E115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32,600</w:t>
            </w:r>
          </w:p>
        </w:tc>
      </w:tr>
      <w:tr w:rsidR="00F30EE2" w:rsidRPr="00796B4F" w14:paraId="1FEC4577" w14:textId="39125AA5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84798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Opakowanie z tworzyw sztucznych 150102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1FF69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15,760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05011" w14:textId="4EC69D0D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17,880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2FC1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</w:tr>
      <w:tr w:rsidR="00F30EE2" w:rsidRPr="00796B4F" w14:paraId="09CECB56" w14:textId="0A30C15A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19CEE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Szkło 200102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FA649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3B1CDB" w14:textId="2514533E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58,52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6630E" w14:textId="5B41DD2D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37,610</w:t>
            </w:r>
          </w:p>
        </w:tc>
      </w:tr>
      <w:tr w:rsidR="00F30EE2" w:rsidRPr="00796B4F" w14:paraId="1D0C3280" w14:textId="57C2BCE4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5B6A8C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Opakowanie ze szkła 150107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92AFF2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43,700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C090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687E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</w:tr>
      <w:tr w:rsidR="00F30EE2" w:rsidRPr="00796B4F" w14:paraId="4E7AE593" w14:textId="6A1698AA" w:rsidTr="00851967">
        <w:trPr>
          <w:trHeight w:val="444"/>
        </w:trPr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A1856" w14:textId="578585A2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Zmieszane odpady opakowaniowe 150106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7C633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B58CF" w14:textId="60686AE4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9,080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AB5D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</w:tr>
      <w:tr w:rsidR="00F30EE2" w:rsidRPr="00796B4F" w14:paraId="4B4B151D" w14:textId="0F1A076C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C61337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Opakowania z papieru i tektury 150101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A60623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5,460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1972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D01A" w14:textId="77777777" w:rsidR="00F30EE2" w:rsidRDefault="00F30EE2">
            <w:pPr>
              <w:pStyle w:val="Zawartotabeli"/>
              <w:snapToGrid w:val="0"/>
              <w:jc w:val="center"/>
            </w:pPr>
          </w:p>
          <w:p w14:paraId="749B7ECA" w14:textId="10F9501E" w:rsidR="00851967" w:rsidRPr="00796B4F" w:rsidRDefault="00851967" w:rsidP="00851967">
            <w:pPr>
              <w:pStyle w:val="Zawartotabeli"/>
              <w:snapToGrid w:val="0"/>
            </w:pPr>
          </w:p>
        </w:tc>
      </w:tr>
      <w:tr w:rsidR="00F30EE2" w:rsidRPr="00796B4F" w14:paraId="2FFD6F22" w14:textId="0C5C134E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5C630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Zmieszane odpady z budowy, remontów i demontażu 170904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C967E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4638C9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0,490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5DFE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</w:tr>
      <w:tr w:rsidR="00F30EE2" w:rsidRPr="00796B4F" w14:paraId="652AF6E0" w14:textId="6FEBBE20" w:rsidTr="00B74F4D">
        <w:tc>
          <w:tcPr>
            <w:tcW w:w="30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9D2559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lastRenderedPageBreak/>
              <w:t>Opakowanie z metali 150104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0E41D0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2,143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FFB761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9BE32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</w:tr>
      <w:tr w:rsidR="00F30EE2" w:rsidRPr="00796B4F" w14:paraId="22F2BF8E" w14:textId="3F3265A5" w:rsidTr="00B74F4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C22" w14:textId="77777777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Urządzenia zawierające freony 20 01 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E51C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202A" w14:textId="77777777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3,860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0D9" w14:textId="7E0D8C10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2,960</w:t>
            </w:r>
          </w:p>
        </w:tc>
      </w:tr>
      <w:tr w:rsidR="00F30EE2" w:rsidRPr="00796B4F" w14:paraId="7C708B2B" w14:textId="77777777" w:rsidTr="00B74F4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21B" w14:textId="367B83F4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Odpady ulegające biodegradacji 200201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639E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6E6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FBA" w14:textId="71DE5E58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0,760</w:t>
            </w:r>
          </w:p>
        </w:tc>
      </w:tr>
      <w:tr w:rsidR="00F30EE2" w:rsidRPr="00796B4F" w14:paraId="26607287" w14:textId="77777777" w:rsidTr="00B74F4D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AFC" w14:textId="2CC3A5C5" w:rsidR="00F30EE2" w:rsidRPr="00796B4F" w:rsidRDefault="00F30EE2">
            <w:pPr>
              <w:pStyle w:val="Zawartotabeli"/>
              <w:snapToGrid w:val="0"/>
              <w:jc w:val="both"/>
            </w:pPr>
            <w:r w:rsidRPr="00796B4F">
              <w:t>Papier i tektura 200101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44C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DC7" w14:textId="77777777" w:rsidR="00F30EE2" w:rsidRPr="00796B4F" w:rsidRDefault="00F30EE2">
            <w:pPr>
              <w:pStyle w:val="Zawartotabeli"/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0C9" w14:textId="767C04B6" w:rsidR="00F30EE2" w:rsidRPr="00796B4F" w:rsidRDefault="00F30EE2">
            <w:pPr>
              <w:pStyle w:val="Zawartotabeli"/>
              <w:snapToGrid w:val="0"/>
              <w:jc w:val="center"/>
            </w:pPr>
            <w:r w:rsidRPr="00796B4F">
              <w:t>0,270</w:t>
            </w:r>
          </w:p>
        </w:tc>
      </w:tr>
    </w:tbl>
    <w:p w14:paraId="55AB6B53" w14:textId="77777777" w:rsidR="0064622A" w:rsidRPr="00796B4F" w:rsidRDefault="0064622A" w:rsidP="0064622A"/>
    <w:p w14:paraId="5A726E15" w14:textId="4C00DAB7" w:rsidR="0064622A" w:rsidRPr="00796B4F" w:rsidRDefault="0064622A" w:rsidP="0064622A">
      <w:pPr>
        <w:tabs>
          <w:tab w:val="left" w:pos="798"/>
          <w:tab w:val="left" w:pos="2431"/>
        </w:tabs>
        <w:jc w:val="both"/>
        <w:rPr>
          <w:color w:val="000000"/>
        </w:rPr>
      </w:pPr>
      <w:r w:rsidRPr="00796B4F">
        <w:rPr>
          <w:rStyle w:val="Domylnaczcionkaakapitu1"/>
        </w:rPr>
        <w:t>1.5. Szacunkowa masa odpadów , które mogą zostać odebrane i zagospodarowane od właścicieli nieruchomości w czasie trwania zamówienia tj. od 1 stycznia 202</w:t>
      </w:r>
      <w:r w:rsidR="00F30EE2" w:rsidRPr="00796B4F">
        <w:rPr>
          <w:rStyle w:val="Domylnaczcionkaakapitu1"/>
        </w:rPr>
        <w:t>2</w:t>
      </w:r>
      <w:r w:rsidRPr="00796B4F">
        <w:rPr>
          <w:rStyle w:val="Domylnaczcionkaakapitu1"/>
        </w:rPr>
        <w:t xml:space="preserve"> r. do 31 grudnia 202</w:t>
      </w:r>
      <w:r w:rsidR="00F30EE2" w:rsidRPr="00796B4F">
        <w:rPr>
          <w:rStyle w:val="Domylnaczcionkaakapitu1"/>
        </w:rPr>
        <w:t>2</w:t>
      </w:r>
      <w:r w:rsidRPr="00796B4F">
        <w:rPr>
          <w:rStyle w:val="Domylnaczcionkaakapitu1"/>
        </w:rPr>
        <w:t xml:space="preserve"> r. to 400 Mg odpadów niesegregowanych (zmieszanych ), 20 Mg  bioodpadów, 20 Mg odpadów wielkogabarytowych, 15 Mg zużytych opon oraz 130 Mg odpadów segregowanych (tj. papier i tektura, metal, tworzywa sztuczne, opakowania wielomateriałowe, szkło i odpady opakowaniowe ze szkła ).</w:t>
      </w:r>
    </w:p>
    <w:p w14:paraId="72F605CD" w14:textId="77777777" w:rsidR="0064622A" w:rsidRPr="00796B4F" w:rsidRDefault="0064622A" w:rsidP="0064622A">
      <w:pPr>
        <w:tabs>
          <w:tab w:val="left" w:pos="798"/>
          <w:tab w:val="left" w:pos="2431"/>
        </w:tabs>
        <w:jc w:val="both"/>
        <w:rPr>
          <w:rStyle w:val="Domylnaczcionkaakapitu1"/>
        </w:rPr>
      </w:pPr>
      <w:r w:rsidRPr="00796B4F">
        <w:rPr>
          <w:color w:val="000000"/>
        </w:rPr>
        <w:t>W terminie siedmiu dni od dnia podpisania umowy Zamawiający przekaże Wykonawcy wykaz wszystkich nieruchomości objętych systemem odbioru odpadów komunalnych.</w:t>
      </w:r>
    </w:p>
    <w:p w14:paraId="63497212" w14:textId="77777777" w:rsidR="0064622A" w:rsidRPr="00796B4F" w:rsidRDefault="0064622A" w:rsidP="0064622A">
      <w:pPr>
        <w:pStyle w:val="Zawartotabeli"/>
        <w:jc w:val="both"/>
      </w:pPr>
      <w:r w:rsidRPr="00796B4F">
        <w:rPr>
          <w:rStyle w:val="Domylnaczcionkaakapitu1"/>
        </w:rPr>
        <w:t xml:space="preserve"> </w:t>
      </w:r>
      <w:r w:rsidRPr="00796B4F">
        <w:rPr>
          <w:rStyle w:val="Domylnaczcionkaakapitu1"/>
          <w:b/>
          <w:bCs/>
        </w:rPr>
        <w:t>Uwaga!</w:t>
      </w:r>
    </w:p>
    <w:p w14:paraId="13AA0C43" w14:textId="77777777" w:rsidR="0064622A" w:rsidRPr="00796B4F" w:rsidRDefault="0064622A" w:rsidP="0064622A">
      <w:pPr>
        <w:pStyle w:val="Zawartotabeli"/>
        <w:jc w:val="both"/>
      </w:pPr>
      <w:r w:rsidRPr="00796B4F">
        <w:t>Ilości nieruchomości są szacunkowe. Zamawiający zastrzega sobie prawo zmiany ilości nieruchomości, z których będą odbierane odpady komunalne oraz zmiany tonażowej odebranych odpadów. Ich ilość może wzrosnąć lub zmaleć w ciągu realizacji zamówienia w wyniku zasiedlania nowych budynków lub ich wyludnienia.</w:t>
      </w:r>
    </w:p>
    <w:p w14:paraId="7DA51325" w14:textId="77777777" w:rsidR="0064622A" w:rsidRPr="00796B4F" w:rsidRDefault="0064622A" w:rsidP="0064622A">
      <w:pPr>
        <w:pStyle w:val="Zawartotabeli"/>
        <w:numPr>
          <w:ilvl w:val="1"/>
          <w:numId w:val="2"/>
        </w:numPr>
        <w:jc w:val="both"/>
      </w:pPr>
      <w:r w:rsidRPr="00796B4F">
        <w:rPr>
          <w:kern w:val="0"/>
          <w:lang w:val="x-none" w:eastAsia="x-none"/>
        </w:rPr>
        <w:t xml:space="preserve">W ramach zamówienia Wykonawca zobowiązany będzie również do odbioru </w:t>
      </w:r>
      <w:r w:rsidRPr="00796B4F">
        <w:rPr>
          <w:kern w:val="0"/>
          <w:lang w:eastAsia="x-none"/>
        </w:rPr>
        <w:t>i zagospodarowania</w:t>
      </w:r>
      <w:r w:rsidRPr="00796B4F">
        <w:rPr>
          <w:kern w:val="0"/>
          <w:lang w:val="x-none" w:eastAsia="x-none"/>
        </w:rPr>
        <w:t xml:space="preserve"> odpadów z </w:t>
      </w:r>
      <w:r w:rsidRPr="00796B4F">
        <w:rPr>
          <w:kern w:val="0"/>
          <w:lang w:eastAsia="x-none"/>
        </w:rPr>
        <w:t>G</w:t>
      </w:r>
      <w:r w:rsidRPr="00796B4F">
        <w:rPr>
          <w:kern w:val="0"/>
          <w:lang w:val="x-none" w:eastAsia="x-none"/>
        </w:rPr>
        <w:t xml:space="preserve">minnego Punktu Selektywnej Zbiórki Odpadów Komunalnych, który mieści się w </w:t>
      </w:r>
      <w:r w:rsidRPr="00796B4F">
        <w:rPr>
          <w:kern w:val="0"/>
          <w:lang w:eastAsia="x-none"/>
        </w:rPr>
        <w:t>Nieliszu 37 a</w:t>
      </w:r>
      <w:r w:rsidRPr="00796B4F">
        <w:rPr>
          <w:kern w:val="0"/>
          <w:lang w:val="x-none" w:eastAsia="x-none"/>
        </w:rPr>
        <w:t>, następujących rodzajów odpadów:</w:t>
      </w:r>
    </w:p>
    <w:p w14:paraId="40DC641C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Szkło (17 02 02) –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61F94EC7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Opakowania ze szkła (15 01 07) – </w:t>
      </w:r>
      <w:r w:rsidRPr="00796B4F">
        <w:rPr>
          <w:kern w:val="0"/>
          <w:lang w:eastAsia="x-none"/>
        </w:rPr>
        <w:t xml:space="preserve">1 </w:t>
      </w:r>
      <w:r w:rsidRPr="00796B4F">
        <w:rPr>
          <w:kern w:val="0"/>
          <w:lang w:val="x-none" w:eastAsia="x-none"/>
        </w:rPr>
        <w:t>Mg</w:t>
      </w:r>
    </w:p>
    <w:p w14:paraId="34500282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Papier, tektura, opakowania z papieru i tektury (20 01 01) – </w:t>
      </w:r>
      <w:r w:rsidRPr="00796B4F">
        <w:rPr>
          <w:kern w:val="0"/>
          <w:lang w:eastAsia="x-none"/>
        </w:rPr>
        <w:t>0,5</w:t>
      </w:r>
      <w:r w:rsidRPr="00796B4F">
        <w:rPr>
          <w:kern w:val="0"/>
          <w:lang w:val="x-none" w:eastAsia="x-none"/>
        </w:rPr>
        <w:t>Mg</w:t>
      </w:r>
    </w:p>
    <w:p w14:paraId="7C7D0360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Tworzywa sztuczne (20 01 39) – </w:t>
      </w:r>
      <w:r w:rsidRPr="00796B4F">
        <w:rPr>
          <w:kern w:val="0"/>
          <w:lang w:eastAsia="x-none"/>
        </w:rPr>
        <w:t xml:space="preserve">1 </w:t>
      </w:r>
      <w:r w:rsidRPr="00796B4F">
        <w:rPr>
          <w:kern w:val="0"/>
          <w:lang w:val="x-none" w:eastAsia="x-none"/>
        </w:rPr>
        <w:t>Mg</w:t>
      </w:r>
    </w:p>
    <w:p w14:paraId="62F76505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Metale (20 01 40) –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47EB676D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odpady komunalne ulegające biodegradacji (20 02 01) -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2CEBAF0B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Opakowania zawierające pozostałości Substancji niebezpiecznych lub nimi zanieczyszczone (15 01 10*) -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68A708CB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Popiół z palenisk domowych (ex 20 01 99) – </w:t>
      </w:r>
      <w:r w:rsidRPr="00796B4F">
        <w:rPr>
          <w:kern w:val="0"/>
          <w:lang w:eastAsia="x-none"/>
        </w:rPr>
        <w:t xml:space="preserve">1 </w:t>
      </w:r>
      <w:r w:rsidRPr="00796B4F">
        <w:rPr>
          <w:kern w:val="0"/>
          <w:lang w:val="x-none" w:eastAsia="x-none"/>
        </w:rPr>
        <w:t>Mg</w:t>
      </w:r>
    </w:p>
    <w:p w14:paraId="6B093EBE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Odpady wielkogabarytowe (20 03 07) –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5CB8E78C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Zużyte urządzenia elektryczne i elektroniczne(20 01 35*, 20 01 36) –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3C97CEAF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Lampy fluorescencyjne i inne odpady zawierające rtęć (20 01 21) – 0,1 Mg</w:t>
      </w:r>
    </w:p>
    <w:p w14:paraId="26E0EDD6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Urządzenia zawierające freony (20 01 23) – 1 Mg</w:t>
      </w:r>
    </w:p>
    <w:p w14:paraId="1E10F18D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Zużyte opony (16 01 03) –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0B0F7AA7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>Odpady budowlane</w:t>
      </w:r>
      <w:r w:rsidRPr="00796B4F">
        <w:rPr>
          <w:kern w:val="0"/>
          <w:lang w:eastAsia="x-none"/>
        </w:rPr>
        <w:t xml:space="preserve"> i rozbiórkowe</w:t>
      </w:r>
      <w:r w:rsidRPr="00796B4F">
        <w:rPr>
          <w:kern w:val="0"/>
          <w:lang w:val="x-none" w:eastAsia="x-none"/>
        </w:rPr>
        <w:t xml:space="preserve"> (17 01 01, 17 01 07) – </w:t>
      </w:r>
      <w:r w:rsidRPr="00796B4F">
        <w:rPr>
          <w:kern w:val="0"/>
          <w:lang w:eastAsia="x-none"/>
        </w:rPr>
        <w:t>5,7</w:t>
      </w:r>
      <w:r w:rsidRPr="00796B4F">
        <w:rPr>
          <w:kern w:val="0"/>
          <w:lang w:val="x-none" w:eastAsia="x-none"/>
        </w:rPr>
        <w:t xml:space="preserve"> Mg</w:t>
      </w:r>
    </w:p>
    <w:p w14:paraId="6BE116A2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Przeterminowane leki (20 01 32) – 0,1 Mg</w:t>
      </w:r>
    </w:p>
    <w:p w14:paraId="352E2702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Baterie i akumulatory (20 01 34) – 0,5 Mg</w:t>
      </w:r>
    </w:p>
    <w:p w14:paraId="469B4FC4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Materiały izolacyjne (17 06 04) – </w:t>
      </w:r>
      <w:r w:rsidRPr="00796B4F">
        <w:rPr>
          <w:kern w:val="0"/>
          <w:lang w:eastAsia="x-none"/>
        </w:rPr>
        <w:t>1</w:t>
      </w:r>
      <w:r w:rsidRPr="00796B4F">
        <w:rPr>
          <w:kern w:val="0"/>
          <w:lang w:val="x-none" w:eastAsia="x-none"/>
        </w:rPr>
        <w:t xml:space="preserve"> Mg</w:t>
      </w:r>
    </w:p>
    <w:p w14:paraId="4F4FFC73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eastAsia="x-none"/>
        </w:rPr>
        <w:t>Odpadowa papa ( 17 03 80 ) – 1 Mg</w:t>
      </w:r>
    </w:p>
    <w:p w14:paraId="4A94B758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eastAsia="x-none"/>
        </w:rPr>
        <w:t xml:space="preserve">Odpady </w:t>
      </w:r>
      <w:r w:rsidRPr="00796B4F">
        <w:rPr>
          <w:kern w:val="0"/>
          <w:lang w:val="x-none" w:eastAsia="x-none"/>
        </w:rPr>
        <w:t>niekwalifikujące się do odpadów medycznych powstałe w gospodarstwie domowym w wyniku przyjmowania produktów leczniczych w formie iniekcji i prowadzenia monitoringu poziomu substancji we krwi, a w szczególności igieł i strzykawek</w:t>
      </w:r>
      <w:r w:rsidRPr="00796B4F">
        <w:rPr>
          <w:kern w:val="0"/>
          <w:lang w:eastAsia="x-none"/>
        </w:rPr>
        <w:t xml:space="preserve">  – 0,1 Mg</w:t>
      </w:r>
    </w:p>
    <w:p w14:paraId="464A9691" w14:textId="77777777" w:rsidR="0064622A" w:rsidRPr="00796B4F" w:rsidRDefault="0064622A" w:rsidP="006462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" w:lineRule="atLeast"/>
        <w:contextualSpacing/>
        <w:jc w:val="both"/>
        <w:rPr>
          <w:kern w:val="0"/>
          <w:lang w:val="x-none" w:eastAsia="x-none"/>
        </w:rPr>
      </w:pPr>
      <w:r w:rsidRPr="00796B4F">
        <w:rPr>
          <w:kern w:val="0"/>
          <w:lang w:val="x-none" w:eastAsia="x-none"/>
        </w:rPr>
        <w:t xml:space="preserve"> Inne niewymienione po wcześniejszym uzgodnieniu ceny</w:t>
      </w:r>
    </w:p>
    <w:p w14:paraId="25A6CBB3" w14:textId="39A571E2" w:rsidR="0064622A" w:rsidRPr="00851967" w:rsidRDefault="0064622A" w:rsidP="00851967">
      <w:pPr>
        <w:widowControl w:val="0"/>
        <w:suppressAutoHyphens w:val="0"/>
        <w:autoSpaceDE w:val="0"/>
        <w:autoSpaceDN w:val="0"/>
        <w:adjustRightInd w:val="0"/>
        <w:spacing w:line="20" w:lineRule="atLeast"/>
        <w:jc w:val="both"/>
      </w:pPr>
      <w:r w:rsidRPr="00796B4F">
        <w:rPr>
          <w:kern w:val="0"/>
        </w:rPr>
        <w:t>Wyżej Zamawiający podał szacunkową ilość odpadów danej frakcji, którą Wykonawca odbierze z PSZOK-u i zagospodaruje w czasie trwania umowy</w:t>
      </w:r>
    </w:p>
    <w:p w14:paraId="0AE16726" w14:textId="77777777" w:rsidR="0064622A" w:rsidRPr="00796B4F" w:rsidRDefault="0064622A" w:rsidP="0064622A">
      <w:pPr>
        <w:tabs>
          <w:tab w:val="left" w:pos="684"/>
        </w:tabs>
        <w:jc w:val="both"/>
      </w:pPr>
      <w:r w:rsidRPr="00796B4F">
        <w:rPr>
          <w:b/>
          <w:sz w:val="28"/>
          <w:szCs w:val="28"/>
          <w:u w:val="single"/>
        </w:rPr>
        <w:lastRenderedPageBreak/>
        <w:t>2. Zakres przedmiotu zamówienia:</w:t>
      </w:r>
    </w:p>
    <w:p w14:paraId="043EDD79" w14:textId="77777777" w:rsidR="0064622A" w:rsidRPr="00796B4F" w:rsidRDefault="0064622A" w:rsidP="0064622A">
      <w:pPr>
        <w:jc w:val="both"/>
      </w:pPr>
      <w:r w:rsidRPr="00796B4F">
        <w:t>Wykonawca zobowiązany jest do odbioru i zagospodarowania całej masy odpadów komunalnych przekazanych przez wszystkich właścicieli nieruchomości zamieszkałych zarówno  niesegregowanych  (zmieszanych) odpadów komunalnych (w tym popiół) , odpadów komunalnych zbieranych w sposób selektywny  z podziałem na frakcje:</w:t>
      </w:r>
    </w:p>
    <w:p w14:paraId="7AC31510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</w:pPr>
      <w:r w:rsidRPr="00796B4F">
        <w:t>tworzywa sztuczne , opakowania wielomateriałowe oraz metale</w:t>
      </w:r>
    </w:p>
    <w:p w14:paraId="290C0A2A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</w:pPr>
      <w:r w:rsidRPr="00796B4F">
        <w:t>szkło białe,</w:t>
      </w:r>
    </w:p>
    <w:p w14:paraId="4DEEB0C5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</w:pPr>
      <w:r w:rsidRPr="00796B4F">
        <w:t>szkło kolorowe,</w:t>
      </w:r>
    </w:p>
    <w:p w14:paraId="5900424B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t>papier i makulatura</w:t>
      </w:r>
    </w:p>
    <w:p w14:paraId="79FC1115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odpady niebezpieczne</w:t>
      </w:r>
    </w:p>
    <w:p w14:paraId="56284AAA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</w:pPr>
      <w:r w:rsidRPr="00796B4F">
        <w:rPr>
          <w:color w:val="000000"/>
        </w:rPr>
        <w:t>przeterminowane leki</w:t>
      </w:r>
    </w:p>
    <w:p w14:paraId="62C5354C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</w:pPr>
      <w:r w:rsidRPr="00796B4F">
        <w:t>chemikalia</w:t>
      </w:r>
    </w:p>
    <w:p w14:paraId="429A80C5" w14:textId="6B2E533A" w:rsidR="0064622A" w:rsidRPr="00796B4F" w:rsidRDefault="0064622A" w:rsidP="0064622A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796B4F">
        <w:t xml:space="preserve">odpady   niekwalifikujące    się    do     odpadów      medycznych        powstałych w gospodarstwie    domowym  w  wyniku   przyjmowania   produktów leczniczych w formie        iniekcji  i  prowadzenia   monitoringu   poziomu   substancji   we krwi, w </w:t>
      </w:r>
      <w:r w:rsidRPr="00796B4F">
        <w:rPr>
          <w:color w:val="000000"/>
        </w:rPr>
        <w:t>szczególności  igieł  i  strzykawek</w:t>
      </w:r>
      <w:r w:rsidR="00F32BE1" w:rsidRPr="00796B4F">
        <w:rPr>
          <w:color w:val="000000"/>
        </w:rPr>
        <w:t xml:space="preserve"> </w:t>
      </w:r>
    </w:p>
    <w:p w14:paraId="3C4AEF71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zużyte baterie i akumulatory inne niż przemysłowe i samochodowe</w:t>
      </w:r>
    </w:p>
    <w:p w14:paraId="21D08EC8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zużyty sprzęt elektryczny i elektroniczny,</w:t>
      </w:r>
    </w:p>
    <w:p w14:paraId="59024221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meble i inne odpady wielkogabarytowe,</w:t>
      </w:r>
    </w:p>
    <w:p w14:paraId="46AFE406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odpady budowlane i rozbiórkowe powstałe w wyniku drobnych prac remontowych niewymagających zgłoszenia lub pozwolenia na budowę</w:t>
      </w:r>
    </w:p>
    <w:p w14:paraId="64CB9391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zużyte opony,</w:t>
      </w:r>
    </w:p>
    <w:p w14:paraId="70E91643" w14:textId="77777777" w:rsidR="0064622A" w:rsidRPr="00796B4F" w:rsidRDefault="0064622A" w:rsidP="0064622A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</w:rPr>
      </w:pPr>
      <w:r w:rsidRPr="00796B4F">
        <w:rPr>
          <w:color w:val="000000"/>
        </w:rPr>
        <w:t>odpady ulegające biodegradacji, ze szczególnym uwzględnieniem bioodpadów</w:t>
      </w:r>
    </w:p>
    <w:p w14:paraId="3907FA75" w14:textId="77777777" w:rsidR="0064622A" w:rsidRPr="00796B4F" w:rsidRDefault="0064622A" w:rsidP="0064622A">
      <w:pPr>
        <w:jc w:val="both"/>
        <w:rPr>
          <w:color w:val="000000"/>
        </w:rPr>
      </w:pPr>
      <w:r w:rsidRPr="00796B4F">
        <w:rPr>
          <w:color w:val="000000"/>
        </w:rPr>
        <w:t xml:space="preserve">oraz odpadów komunalnych z Punktu Selektywnej Zbiórki </w:t>
      </w:r>
      <w:r w:rsidRPr="00796B4F">
        <w:t xml:space="preserve"> Odpadów Komunalnych w sposób zapewniający osiągnięcie odpowiednich poziomów recyklingu, przygotowania do ponownego użycia i odzysku innymi metodami oraz ograniczenie masy odpadów komunalnych ulegających biodegradacji przekazywanych do składowania. Odpady należy przekazać do  instalacji przekazania odpadów komunalnych zgodnie z uchwałą Nr XXIV/350/2016 Sejmiku Województwa Lubelskiego z dnia 2 grudnia 2016 r. w sprawie uchwalenia Planu Gospodarki Odpadami dla Województwa Lubelskiego 2022 .</w:t>
      </w:r>
      <w:r w:rsidRPr="00796B4F">
        <w:rPr>
          <w:color w:val="000000"/>
        </w:rPr>
        <w:t xml:space="preserve"> </w:t>
      </w:r>
    </w:p>
    <w:p w14:paraId="0220268F" w14:textId="77777777" w:rsidR="0064622A" w:rsidRPr="00796B4F" w:rsidRDefault="0064622A" w:rsidP="0064622A">
      <w:pPr>
        <w:jc w:val="both"/>
        <w:rPr>
          <w:rStyle w:val="Domylnaczcionkaakapitu1"/>
          <w:b/>
          <w:bCs/>
          <w:sz w:val="28"/>
          <w:szCs w:val="28"/>
          <w:u w:val="single"/>
        </w:rPr>
      </w:pPr>
      <w:r w:rsidRPr="00796B4F">
        <w:rPr>
          <w:color w:val="000000"/>
        </w:rPr>
        <w:t xml:space="preserve">   </w:t>
      </w:r>
    </w:p>
    <w:p w14:paraId="2673FD70" w14:textId="77777777" w:rsidR="0064622A" w:rsidRPr="00796B4F" w:rsidRDefault="0064622A" w:rsidP="0064622A">
      <w:pPr>
        <w:rPr>
          <w:rStyle w:val="Domylnaczcionkaakapitu1"/>
          <w:b/>
          <w:bCs/>
          <w:i/>
          <w:color w:val="000000"/>
          <w:sz w:val="28"/>
          <w:szCs w:val="28"/>
          <w:u w:val="single"/>
        </w:rPr>
      </w:pPr>
      <w:r w:rsidRPr="00796B4F">
        <w:rPr>
          <w:rStyle w:val="Domylnaczcionkaakapitu1"/>
          <w:b/>
          <w:bCs/>
          <w:color w:val="000000"/>
          <w:sz w:val="28"/>
          <w:szCs w:val="28"/>
          <w:u w:val="single"/>
        </w:rPr>
        <w:t>3.Szcz</w:t>
      </w:r>
      <w:r w:rsidRPr="00796B4F">
        <w:rPr>
          <w:rStyle w:val="Domylnaczcionkaakapitu1"/>
          <w:b/>
          <w:bCs/>
          <w:i/>
          <w:color w:val="000000"/>
          <w:sz w:val="28"/>
          <w:szCs w:val="28"/>
          <w:u w:val="single"/>
        </w:rPr>
        <w:t>egółowy opis przedmiotu zamówienia</w:t>
      </w:r>
    </w:p>
    <w:tbl>
      <w:tblPr>
        <w:tblW w:w="919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6"/>
      </w:tblGrid>
      <w:tr w:rsidR="0064622A" w:rsidRPr="0066515B" w14:paraId="5E8AABC3" w14:textId="77777777" w:rsidTr="00AA3829">
        <w:tc>
          <w:tcPr>
            <w:tcW w:w="9196" w:type="dxa"/>
            <w:vAlign w:val="center"/>
          </w:tcPr>
          <w:p w14:paraId="6F617303" w14:textId="212D047A" w:rsidR="0064622A" w:rsidRPr="0066515B" w:rsidRDefault="0064622A">
            <w:pPr>
              <w:pStyle w:val="Zawartotabeli"/>
              <w:snapToGrid w:val="0"/>
              <w:spacing w:after="283"/>
              <w:jc w:val="both"/>
            </w:pPr>
            <w:r w:rsidRPr="0066515B">
              <w:t xml:space="preserve">Przedmiotem zamówienia jest odbieranie wskazanych w opisie zamówienia rodzajów odpadów komunalnych od właścicieli nieruchomości zamieszkałych na terenie gminy Nielisz. </w:t>
            </w:r>
            <w:r w:rsidRPr="0066515B">
              <w:br/>
              <w:t xml:space="preserve">Przedmiot zamówienia obejmuje załadunek, transport, odzysk i unieszkodliwianie odpadów </w:t>
            </w:r>
            <w:r w:rsidRPr="0066515B">
              <w:br/>
              <w:t xml:space="preserve">w instalacjach komunalnych. </w:t>
            </w:r>
            <w:r w:rsidRPr="0066515B">
              <w:rPr>
                <w:rStyle w:val="Domylnaczcionkaakapitu1"/>
                <w:color w:val="000000"/>
              </w:rPr>
              <w:t>Pojemniki i worki w ustalonym dniu odbioru odpadów właściciele nieruchomości zamieszkałych będą wystawiać do ciągów komunikacyjnych.</w:t>
            </w:r>
            <w:r w:rsidRPr="0066515B">
              <w:br/>
              <w:t>Ustala się odbiór każdej ilości odpadów komunalnych zebranych przez wszystkich właścicieli nieruchomości zamieszkałych w sposób selektywny  zlokalizowanych na terenie Gminy Nielisz.</w:t>
            </w:r>
            <w:r w:rsidRPr="0066515B">
              <w:br/>
            </w:r>
            <w:r w:rsidRPr="0066515B">
              <w:rPr>
                <w:color w:val="000000"/>
              </w:rPr>
              <w:t>Na czas realizacji przedmiotu zamówienia wykonawca zobowiązany jest do  wyposażenia  właścicieli nieruchomości zamieszkałych w pojemniki lub worki na odpady niesegregowane</w:t>
            </w:r>
            <w:r w:rsidRPr="0066515B">
              <w:rPr>
                <w:color w:val="FF0000"/>
              </w:rPr>
              <w:t xml:space="preserve"> </w:t>
            </w:r>
            <w:r w:rsidRPr="0066515B">
              <w:rPr>
                <w:color w:val="000000"/>
              </w:rPr>
              <w:t>(zmieszane),</w:t>
            </w:r>
            <w:r w:rsidRPr="0066515B">
              <w:t xml:space="preserve"> i komplety worków/pojemników na zbiórkę selektywną oraz wyposażenie w pojemniki i kontenery Punktu Selektywnego Zbierania Odpadów komunalnych w Nieliszu, bez dodatkowej opłaty na czas realizacji przedmiotu zamówienia.  Wykonawca zobowiązany jest tego dokonać do 31.12. 202</w:t>
            </w:r>
            <w:r w:rsidR="00AA3829" w:rsidRPr="0066515B">
              <w:t>1</w:t>
            </w:r>
            <w:r w:rsidRPr="0066515B">
              <w:t xml:space="preserve"> r.- a nowo zamieszkałe posesje po 01.01.202 r. w ciągu 14 dni od dnia zgłoszenia przez Zamawiającego. Pojemniki lub worki na odpady niesegregowane (zmieszane) powinny być oznakowane logo Wykonawcy. Worki/pojemniki do selektywnej zbiórki powinny być oznaczone informacją o rodzaju gromadzonych w nich </w:t>
            </w:r>
            <w:r w:rsidRPr="0066515B">
              <w:rPr>
                <w:rStyle w:val="Domylnaczcionkaakapitu1"/>
                <w:color w:val="000000"/>
              </w:rPr>
              <w:t>odpadów</w:t>
            </w:r>
            <w:r w:rsidRPr="0066515B">
              <w:t xml:space="preserve">, nazwą, </w:t>
            </w:r>
            <w:r w:rsidRPr="0066515B">
              <w:lastRenderedPageBreak/>
              <w:t>adresem oraz numerem telefonu wykonawcy. Ponadto na worku powinna znaleźć się informacja o zakazie wrzucania nieodpowiedniej frakcji odpadów .</w:t>
            </w:r>
          </w:p>
          <w:p w14:paraId="08861EF2" w14:textId="77777777" w:rsidR="0064622A" w:rsidRPr="0066515B" w:rsidRDefault="0064622A">
            <w:pPr>
              <w:pStyle w:val="Zawartotabeli"/>
              <w:spacing w:after="283"/>
              <w:jc w:val="both"/>
            </w:pPr>
            <w:r w:rsidRPr="0066515B">
              <w:t>W przypadku zgłoszenia (do Zamawiającego) przez mieszkańców oddających odpady selektywne, faktu zbyt małej ilości worków/pojemników na gromadzenie odpadów na danej posesji, Wykonawca zaopatrzy tą posesję w dodatkowe worki w ramach wykonywanej usługi.</w:t>
            </w:r>
          </w:p>
          <w:p w14:paraId="1C5DF046" w14:textId="77777777" w:rsidR="0064622A" w:rsidRPr="0066515B" w:rsidRDefault="0064622A">
            <w:pPr>
              <w:pStyle w:val="Zawartotabeli"/>
              <w:jc w:val="both"/>
            </w:pPr>
            <w:r w:rsidRPr="0066515B">
              <w:t>Komplet worków/pojemników składa się z 5 sztuk z następującym podziałem:</w:t>
            </w:r>
          </w:p>
          <w:p w14:paraId="5AD77669" w14:textId="77777777" w:rsidR="0064622A" w:rsidRPr="0066515B" w:rsidRDefault="0064622A">
            <w:pPr>
              <w:pStyle w:val="Zawartotabeli"/>
              <w:jc w:val="both"/>
            </w:pPr>
            <w:r w:rsidRPr="0066515B">
              <w:t>- szkło białe – kolor biały z napisem „ Szkło bezbarwne”,</w:t>
            </w:r>
          </w:p>
          <w:p w14:paraId="16E670D7" w14:textId="77777777" w:rsidR="0064622A" w:rsidRPr="0066515B" w:rsidRDefault="0064622A">
            <w:pPr>
              <w:pStyle w:val="Zawartotabeli"/>
              <w:jc w:val="both"/>
            </w:pPr>
            <w:r w:rsidRPr="0066515B">
              <w:t>- szkło kolorowe – kolor zielony z napisem „ Szkło kolorowe”</w:t>
            </w:r>
          </w:p>
          <w:p w14:paraId="2183A1A7" w14:textId="77777777" w:rsidR="0064622A" w:rsidRPr="0066515B" w:rsidRDefault="0064622A">
            <w:pPr>
              <w:pStyle w:val="Zawartotabeli"/>
              <w:jc w:val="both"/>
            </w:pPr>
            <w:r w:rsidRPr="0066515B">
              <w:t>- papier i makulatura – kolor niebieski z napisem „ Papier”</w:t>
            </w:r>
          </w:p>
          <w:p w14:paraId="51DD4A53" w14:textId="77777777" w:rsidR="0064622A" w:rsidRPr="0066515B" w:rsidRDefault="0064622A">
            <w:pPr>
              <w:pStyle w:val="Zawartotabeli"/>
              <w:jc w:val="both"/>
            </w:pPr>
            <w:r w:rsidRPr="0066515B">
              <w:t>- tworzywa sztuczne , metal, opakowania wielomateriałowe – kolor żółty z napisem „ Metale i tworzywa sztuczne”</w:t>
            </w:r>
          </w:p>
          <w:p w14:paraId="31793702" w14:textId="72F18404" w:rsidR="0064622A" w:rsidRPr="0066515B" w:rsidRDefault="0064622A">
            <w:pPr>
              <w:pStyle w:val="Zawartotabeli"/>
              <w:rPr>
                <w:rStyle w:val="Domylnaczcionkaakapitu1"/>
              </w:rPr>
            </w:pPr>
            <w:r w:rsidRPr="0066515B">
              <w:t>- odpady ulegające biodegradacji, ze szczególnym uwzględnieniem bioodpadów – kolor brązowy z napisem ” Bio „</w:t>
            </w:r>
            <w:r w:rsidRPr="0066515B">
              <w:br/>
            </w:r>
            <w:r w:rsidRPr="0066515B">
              <w:rPr>
                <w:rStyle w:val="Domylnaczcionkaakapitu1"/>
                <w:b/>
                <w:bCs/>
              </w:rPr>
              <w:t xml:space="preserve">1/. </w:t>
            </w:r>
            <w:r w:rsidRPr="0066515B">
              <w:rPr>
                <w:rStyle w:val="Domylnaczcionkaakapitu1"/>
              </w:rPr>
              <w:t>Wykonawca zobowiązany jest do odbierania  bezpośrednio od  właścicieli nieruchomości zamieszkałych  na terenie Gminy Nielisz następujących frakcji odpadów komunalnych z częstotliwością:</w:t>
            </w:r>
          </w:p>
          <w:p w14:paraId="12400DF0" w14:textId="5E77A6E6" w:rsidR="0064622A" w:rsidRPr="0066515B" w:rsidRDefault="0064622A">
            <w:pPr>
              <w:pStyle w:val="Zawartotabeli"/>
              <w:jc w:val="both"/>
              <w:rPr>
                <w:color w:val="000000"/>
              </w:rPr>
            </w:pPr>
            <w:r w:rsidRPr="0066515B">
              <w:t>a)</w:t>
            </w:r>
            <w:r w:rsidR="00AA3829" w:rsidRPr="0066515B">
              <w:t xml:space="preserve"> 1 raz w miesiącu</w:t>
            </w:r>
            <w:r w:rsidR="00B307F3" w:rsidRPr="0066515B">
              <w:t xml:space="preserve"> - </w:t>
            </w:r>
            <w:r w:rsidRPr="0066515B">
              <w:t xml:space="preserve"> niesegregowane (zmieszane) odpady komunalne </w:t>
            </w:r>
            <w:r w:rsidRPr="0066515B">
              <w:rPr>
                <w:color w:val="000000"/>
              </w:rPr>
              <w:t>gromadzone w pojemnikach lub workach (koloru czarnego)   o pojemności :</w:t>
            </w:r>
          </w:p>
          <w:p w14:paraId="3E636B3B" w14:textId="77777777" w:rsidR="0064622A" w:rsidRPr="0066515B" w:rsidRDefault="0064622A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 xml:space="preserve">-  120 l – do 4 osób,    </w:t>
            </w:r>
          </w:p>
          <w:p w14:paraId="0715955F" w14:textId="77777777" w:rsidR="0064622A" w:rsidRPr="0066515B" w:rsidRDefault="0064622A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-  240 l – powyżej 4 osób,( lub dwa worki 120 l )</w:t>
            </w:r>
          </w:p>
          <w:p w14:paraId="64470AC1" w14:textId="2F4A9FC5" w:rsidR="0064622A" w:rsidRPr="0066515B" w:rsidRDefault="0064622A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Odbiór odpadów niesegregowanych (zmieszanych) będzie się odbywał w tym samym dniu co odpady ulegające biodegradacji.</w:t>
            </w:r>
          </w:p>
          <w:p w14:paraId="5825000A" w14:textId="5868A35F" w:rsidR="00B307F3" w:rsidRPr="0066515B" w:rsidRDefault="0064622A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b)</w:t>
            </w:r>
            <w:r w:rsidR="00B307F3" w:rsidRPr="0066515B">
              <w:rPr>
                <w:color w:val="000000"/>
              </w:rPr>
              <w:t xml:space="preserve"> 1 raz w miesiącu - </w:t>
            </w:r>
            <w:r w:rsidR="00A06C54" w:rsidRPr="0066515B">
              <w:rPr>
                <w:color w:val="000000"/>
              </w:rPr>
              <w:t xml:space="preserve"> </w:t>
            </w:r>
            <w:r w:rsidRPr="0066515B">
              <w:rPr>
                <w:color w:val="000000"/>
              </w:rPr>
              <w:t xml:space="preserve">odpady ulegające biodegradacji, ze szczególnym uwzględnieniem bioodpadów gromadzone w workach brązowych z foli LDPE–grubość min. 60 mikronów o pojemności od 80 l do 120 l </w:t>
            </w:r>
            <w:r w:rsidR="00A06C54" w:rsidRPr="0066515B">
              <w:rPr>
                <w:color w:val="000000"/>
              </w:rPr>
              <w:t>.</w:t>
            </w:r>
          </w:p>
          <w:p w14:paraId="5F648BEB" w14:textId="5CE016B7" w:rsidR="0064622A" w:rsidRPr="0066515B" w:rsidRDefault="0064622A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Odbiór odpadów ulegających biodegradacji będzie się odbywał w tym samym dniu co odpady niesegregowane ( zmieszane ).</w:t>
            </w:r>
          </w:p>
          <w:p w14:paraId="4F70699F" w14:textId="77777777" w:rsidR="007C2D62" w:rsidRPr="0066515B" w:rsidRDefault="0064622A" w:rsidP="007C2D62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c) pozostałe odpady segregowane gromadzone w workach  z foli LDPE – grubość min. 60 mikronów o pojemności od 80l do 120l :</w:t>
            </w:r>
          </w:p>
          <w:p w14:paraId="7533A72E" w14:textId="41B9DE7F" w:rsidR="0064622A" w:rsidRPr="0066515B" w:rsidRDefault="0064622A" w:rsidP="007C2D62">
            <w:pPr>
              <w:pStyle w:val="Zawartotabeli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 xml:space="preserve">co najmniej raz na </w:t>
            </w:r>
            <w:r w:rsidR="00AA2A0F">
              <w:rPr>
                <w:color w:val="000000"/>
              </w:rPr>
              <w:t>trzy</w:t>
            </w:r>
            <w:r w:rsidR="007C2D62" w:rsidRPr="0066515B">
              <w:rPr>
                <w:color w:val="000000"/>
              </w:rPr>
              <w:t xml:space="preserve"> miesiące</w:t>
            </w:r>
            <w:r w:rsidRPr="0066515B">
              <w:rPr>
                <w:color w:val="000000"/>
              </w:rPr>
              <w:t xml:space="preserve"> ( min. </w:t>
            </w:r>
            <w:r w:rsidR="00AA2A0F">
              <w:rPr>
                <w:color w:val="000000"/>
              </w:rPr>
              <w:t>4</w:t>
            </w:r>
            <w:r w:rsidRPr="0066515B">
              <w:rPr>
                <w:color w:val="000000"/>
              </w:rPr>
              <w:t xml:space="preserve"> odbiory w ciągu roku ) takie jak:</w:t>
            </w:r>
          </w:p>
          <w:p w14:paraId="59A18DF7" w14:textId="77777777" w:rsidR="0064622A" w:rsidRPr="0066515B" w:rsidRDefault="0064622A" w:rsidP="00E10A0E">
            <w:pPr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66515B">
              <w:rPr>
                <w:color w:val="000000"/>
              </w:rPr>
              <w:t>tworzywa sztuczne , metale i opakowania wielomateriałowe – worek</w:t>
            </w:r>
            <w:r w:rsidRPr="0066515B">
              <w:t xml:space="preserve"> żółty</w:t>
            </w:r>
          </w:p>
          <w:p w14:paraId="25D0191E" w14:textId="77777777" w:rsidR="0064622A" w:rsidRPr="0066515B" w:rsidRDefault="0064622A" w:rsidP="00E10A0E">
            <w:pPr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66515B">
              <w:t>szkło białe – worek biały,</w:t>
            </w:r>
          </w:p>
          <w:p w14:paraId="3B606C50" w14:textId="77777777" w:rsidR="0064622A" w:rsidRPr="0066515B" w:rsidRDefault="0064622A" w:rsidP="00E10A0E">
            <w:pPr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66515B">
              <w:t>szkło kolorowe – worek zielony,</w:t>
            </w:r>
          </w:p>
          <w:p w14:paraId="07586359" w14:textId="044C74B6" w:rsidR="0064622A" w:rsidRPr="0066515B" w:rsidRDefault="0064622A" w:rsidP="00D407C7">
            <w:pPr>
              <w:numPr>
                <w:ilvl w:val="0"/>
                <w:numId w:val="4"/>
              </w:numPr>
              <w:tabs>
                <w:tab w:val="left" w:pos="0"/>
              </w:tabs>
              <w:jc w:val="both"/>
            </w:pPr>
            <w:r w:rsidRPr="0066515B">
              <w:t xml:space="preserve">papier i makulatura  – worek  niebieski </w:t>
            </w:r>
            <w:r w:rsidR="00A06C54" w:rsidRPr="0066515B">
              <w:t>.</w:t>
            </w:r>
          </w:p>
          <w:p w14:paraId="64E81496" w14:textId="77777777" w:rsidR="0064622A" w:rsidRPr="0066515B" w:rsidRDefault="0064622A">
            <w:pPr>
              <w:pStyle w:val="Zawartotabeli"/>
              <w:jc w:val="both"/>
            </w:pPr>
            <w:r w:rsidRPr="0066515B">
              <w:t>Odbiór odpadów komunalnych powinien być realizowany w poniedziałki, wtorki, środy i czwartki każdego miesiąca.</w:t>
            </w:r>
          </w:p>
          <w:p w14:paraId="366AB4BB" w14:textId="77777777" w:rsidR="0064622A" w:rsidRPr="0066515B" w:rsidRDefault="0064622A">
            <w:pPr>
              <w:jc w:val="both"/>
            </w:pPr>
            <w:r w:rsidRPr="0066515B">
              <w:t>W ramach świadczonej usługi Wykonawca zobowiązany jest do odbioru odpadów komunalnych także bezpośrednio z nieruchomości o trudno dostępnej lokalizacji (tj. nieruchomość w miejscu z utrudnionym dojazdem np. drogi polne, drogi nie utwardzone).</w:t>
            </w:r>
          </w:p>
          <w:p w14:paraId="36A4358A" w14:textId="77777777" w:rsidR="0064622A" w:rsidRPr="0066515B" w:rsidRDefault="0064622A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jc w:val="both"/>
              <w:rPr>
                <w:rStyle w:val="Domylnaczcionkaakapitu1"/>
                <w:b/>
                <w:bCs/>
                <w:lang w:val="x-none"/>
              </w:rPr>
            </w:pPr>
            <w:r w:rsidRPr="0066515B">
              <w:rPr>
                <w:kern w:val="0"/>
                <w:lang w:val="x-none" w:eastAsia="x-none"/>
              </w:rPr>
              <w:t xml:space="preserve">Odbioru odpadów wymienionych w ust. </w:t>
            </w:r>
            <w:r w:rsidRPr="0066515B">
              <w:rPr>
                <w:kern w:val="0"/>
                <w:lang w:eastAsia="x-none"/>
              </w:rPr>
              <w:t>1</w:t>
            </w:r>
            <w:r w:rsidRPr="0066515B">
              <w:rPr>
                <w:kern w:val="0"/>
                <w:lang w:val="x-none" w:eastAsia="x-none"/>
              </w:rPr>
              <w:t xml:space="preserve"> należy dokonywać różnymi samochodami dla poszczególnych frakcji odpadu tj. zmieszane odpady komunalne, selektywnie zebrane odpady komunalne.</w:t>
            </w:r>
          </w:p>
          <w:p w14:paraId="54A6AD2C" w14:textId="623F79FE" w:rsidR="0064622A" w:rsidRPr="0066515B" w:rsidRDefault="0064622A">
            <w:pPr>
              <w:pStyle w:val="Zawartotabeli"/>
              <w:jc w:val="both"/>
            </w:pPr>
            <w:r w:rsidRPr="0066515B">
              <w:rPr>
                <w:b/>
                <w:bCs/>
                <w:color w:val="000000"/>
              </w:rPr>
              <w:t>2/ Meble i odpady wielkogabarytowe</w:t>
            </w:r>
            <w:r w:rsidR="008E7F4A" w:rsidRPr="0066515B">
              <w:rPr>
                <w:b/>
                <w:bCs/>
                <w:color w:val="000000"/>
              </w:rPr>
              <w:t>,</w:t>
            </w:r>
            <w:r w:rsidRPr="0066515B">
              <w:rPr>
                <w:b/>
                <w:bCs/>
                <w:color w:val="000000"/>
              </w:rPr>
              <w:t xml:space="preserve"> zużyte opony</w:t>
            </w:r>
            <w:r w:rsidR="008E7F4A" w:rsidRPr="0066515B">
              <w:rPr>
                <w:b/>
                <w:bCs/>
                <w:color w:val="000000"/>
              </w:rPr>
              <w:t xml:space="preserve"> oraz odpady budowlane i rozbiórkowe</w:t>
            </w:r>
          </w:p>
          <w:p w14:paraId="194E5A1D" w14:textId="7C32434B" w:rsidR="0064622A" w:rsidRPr="0066515B" w:rsidRDefault="0064622A">
            <w:pPr>
              <w:pStyle w:val="Zawartotabeli"/>
              <w:jc w:val="both"/>
              <w:rPr>
                <w:b/>
                <w:bCs/>
              </w:rPr>
            </w:pPr>
            <w:r w:rsidRPr="0066515B">
              <w:t>Wykonawca zobowiązany jest zapewnić co najmniej raz w ciągu roku  odbiór z tzw. „wystawek”: mebli i innych odpadów wielkogabarytowych</w:t>
            </w:r>
            <w:r w:rsidR="008E7F4A" w:rsidRPr="0066515B">
              <w:t>,</w:t>
            </w:r>
            <w:r w:rsidRPr="0066515B">
              <w:t xml:space="preserve"> zużytych opon</w:t>
            </w:r>
            <w:r w:rsidR="008E7F4A" w:rsidRPr="0066515B">
              <w:t xml:space="preserve"> oraz odpadów budowlanych i rozbiórkowych powstałych w wyniku drobnych prac remontowych nie wymagających zgłoszenia lub pozwolenia na budowę (np. stare okna, ceramika łazienkowa, folie budowlane, </w:t>
            </w:r>
            <w:r w:rsidR="008E7F4A" w:rsidRPr="0066515B">
              <w:lastRenderedPageBreak/>
              <w:t>styropian, ścinki płyt kartonowo gipsowych )</w:t>
            </w:r>
            <w:r w:rsidRPr="0066515B">
              <w:t xml:space="preserve"> wystawionych do ciągów komunikacyjnych przez właścicieli nieruchomości zamieszkałych.</w:t>
            </w:r>
          </w:p>
          <w:p w14:paraId="6DE3B7F0" w14:textId="77777777" w:rsidR="0064622A" w:rsidRPr="0066515B" w:rsidRDefault="0064622A">
            <w:pPr>
              <w:pStyle w:val="Zawartotabeli"/>
              <w:jc w:val="both"/>
            </w:pPr>
            <w:r w:rsidRPr="0066515B">
              <w:rPr>
                <w:b/>
                <w:bCs/>
              </w:rPr>
              <w:t>3/ Zużyty sprzęt elektryczny i elektroniczny oraz zużyte baterie i akumulatory</w:t>
            </w:r>
          </w:p>
          <w:p w14:paraId="5414753C" w14:textId="77777777" w:rsidR="0064622A" w:rsidRPr="0066515B" w:rsidRDefault="0064622A">
            <w:pPr>
              <w:jc w:val="both"/>
              <w:rPr>
                <w:b/>
                <w:bCs/>
              </w:rPr>
            </w:pPr>
            <w:r w:rsidRPr="0066515B">
              <w:t xml:space="preserve">Wykonawca zobowiązany jest zapewnić co najmniej raz w ciągu roku  </w:t>
            </w:r>
            <w:r w:rsidRPr="0066515B">
              <w:rPr>
                <w:b/>
                <w:bCs/>
              </w:rPr>
              <w:t xml:space="preserve">nieodpłatnie </w:t>
            </w:r>
            <w:r w:rsidRPr="0066515B">
              <w:t>odbiór z tzw. „wystawek”: zużytego sprzętu elektrycznego i elektronicznego oraz zużytych baterii i akumulatorów wystawionych do ciągów komunikacyjnych przez właścicieli nieruchomości zamieszkałych.</w:t>
            </w:r>
          </w:p>
          <w:p w14:paraId="2FE27329" w14:textId="77777777" w:rsidR="0064622A" w:rsidRPr="0066515B" w:rsidRDefault="0064622A">
            <w:pPr>
              <w:pStyle w:val="Zawartotabeli"/>
              <w:jc w:val="both"/>
            </w:pPr>
            <w:r w:rsidRPr="0066515B">
              <w:rPr>
                <w:b/>
                <w:bCs/>
              </w:rPr>
              <w:t>4/ Odpady budowlane i rozbiórkowe</w:t>
            </w:r>
          </w:p>
          <w:p w14:paraId="1D68C91C" w14:textId="77777777" w:rsidR="0064622A" w:rsidRPr="0066515B" w:rsidRDefault="0064622A">
            <w:pPr>
              <w:jc w:val="both"/>
            </w:pPr>
            <w:r w:rsidRPr="0066515B">
              <w:t>Wykonawca jest zobowiązany do odbierania odpadów budowlanych i rozbiórkowych powstałych w gospodarstwach domowych w wyniku drobnych prac remontowych nie wymagających zgłoszenia lub pozwolenia na budowę( tj. stare okna, drzwi, ceramika łazienkowa, folie, styropian, papa )  na bieżąco, według potrzeb po telefonicznym zgłoszeniu przez Zamawiającego do Wykonawcy,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      </w:r>
          </w:p>
          <w:p w14:paraId="57F7E926" w14:textId="77777777" w:rsidR="0064622A" w:rsidRPr="0066515B" w:rsidRDefault="0064622A">
            <w:pPr>
              <w:pStyle w:val="Zawartotabeli"/>
              <w:jc w:val="both"/>
            </w:pPr>
          </w:p>
          <w:p w14:paraId="5CB83690" w14:textId="575F2049" w:rsidR="0064622A" w:rsidRPr="0066515B" w:rsidRDefault="008E7F4A">
            <w:pPr>
              <w:pStyle w:val="Zawartotabeli"/>
              <w:rPr>
                <w:rStyle w:val="Domylnaczcionkaakapitu1"/>
                <w:color w:val="000000"/>
              </w:rPr>
            </w:pPr>
            <w:r w:rsidRPr="0066515B">
              <w:rPr>
                <w:rStyle w:val="Domylnaczcionkaakapitu1"/>
                <w:b/>
                <w:bCs/>
                <w:sz w:val="28"/>
                <w:szCs w:val="28"/>
                <w:u w:val="single"/>
              </w:rPr>
              <w:t>4.</w:t>
            </w:r>
            <w:r w:rsidR="0064622A" w:rsidRPr="0066515B">
              <w:rPr>
                <w:rStyle w:val="Domylnaczcionkaakapitu1"/>
                <w:b/>
                <w:bCs/>
                <w:sz w:val="28"/>
                <w:szCs w:val="28"/>
                <w:u w:val="single"/>
              </w:rPr>
              <w:t xml:space="preserve"> Warunki wykonania usług</w:t>
            </w:r>
            <w:r w:rsidR="0064622A" w:rsidRPr="0066515B">
              <w:br/>
              <w:t xml:space="preserve">1/ Szczegółowy wykaz </w:t>
            </w:r>
            <w:r w:rsidR="0064622A" w:rsidRPr="0066515B">
              <w:rPr>
                <w:color w:val="000000"/>
              </w:rPr>
              <w:t xml:space="preserve">nieruchomości wraz z wielkością pojemnika lub worka dostosowanego do liczby mieszkańców zamieszkujących daną nieruchomość  Zamawiający przekaże Wykonawcy w  </w:t>
            </w:r>
            <w:r w:rsidR="0064622A" w:rsidRPr="0066515B">
              <w:rPr>
                <w:rStyle w:val="Domylnaczcionkaakapitu1"/>
                <w:color w:val="000000"/>
              </w:rPr>
              <w:t xml:space="preserve"> terminie siedmiu dni od dnia podpisania umowy </w:t>
            </w:r>
            <w:r w:rsidR="0064622A" w:rsidRPr="0066515B">
              <w:t>. Wykonawca zobowiązany jest sporządzić harmonogram (w formie papierowej i elektronicznej) na czas trwania umowy. Harmonogram Wykonawca musi przedstawić Zamawiającemu do akceptacji w ciągu 7 dni od podpisania umowy , a następnie po zaakceptowaniu przez Zamawiającego dostarczyć właścicielom nieruchomości do dnia 31 grudnia 202</w:t>
            </w:r>
            <w:r w:rsidRPr="0066515B">
              <w:t>1</w:t>
            </w:r>
            <w:r w:rsidR="0064622A" w:rsidRPr="0066515B">
              <w:t xml:space="preserve"> r. Za dostarczenie harmonogramu należy uznać jego pozostawienie w skrzynce </w:t>
            </w:r>
            <w:r w:rsidR="0064622A" w:rsidRPr="0066515B">
              <w:rPr>
                <w:color w:val="000000"/>
              </w:rPr>
              <w:t>pocztowej lub razem z pojemnikami lub workami na odpady komunalne.</w:t>
            </w:r>
          </w:p>
          <w:p w14:paraId="22121166" w14:textId="17DA5057" w:rsidR="0064622A" w:rsidRPr="0066515B" w:rsidRDefault="0064622A">
            <w:pPr>
              <w:pStyle w:val="Zawartotabeli"/>
              <w:rPr>
                <w:color w:val="FF0000"/>
              </w:rPr>
            </w:pPr>
            <w:r w:rsidRPr="0066515B">
              <w:rPr>
                <w:rStyle w:val="Domylnaczcionkaakapitu1"/>
                <w:color w:val="000000"/>
              </w:rPr>
              <w:t>Wszelkie zmiany harmonogramu będą wymagały zgody Zamawiającego, a Wykonawca będzie zobowiązany do dostarczenia zmienionych harmonogramów do każdej nieruchomości objętej odbiorem odpadów komunalnych.</w:t>
            </w:r>
            <w:r w:rsidRPr="0066515B">
              <w:rPr>
                <w:color w:val="000000"/>
              </w:rPr>
              <w:br/>
              <w:t>2/.Wykonawca   ma obowiązek do nieodpłatnego wyposażenia nieruchomości, na których gromadzone są odpady w niezbędne pojemniki lub worki na odpady niesegregowane (zmieszane ) oraz komplety worków na odpady segregowane do dnia 31 grudnia 202</w:t>
            </w:r>
            <w:r w:rsidR="008E7F4A" w:rsidRPr="0066515B">
              <w:rPr>
                <w:color w:val="000000"/>
              </w:rPr>
              <w:t>1</w:t>
            </w:r>
            <w:r w:rsidRPr="0066515B">
              <w:rPr>
                <w:color w:val="000000"/>
              </w:rPr>
              <w:t xml:space="preserve"> r., które przekaże do używania mieszkańcom</w:t>
            </w:r>
            <w:r w:rsidR="008E7F4A" w:rsidRPr="0066515B">
              <w:rPr>
                <w:color w:val="000000"/>
              </w:rPr>
              <w:t xml:space="preserve"> na podstawie indywidualnej umowy z właścicielem nieruchomości.</w:t>
            </w:r>
            <w:r w:rsidRPr="0066515B">
              <w:rPr>
                <w:color w:val="000000"/>
              </w:rPr>
              <w:t xml:space="preserve"> Natomiast do nowo zamieszkałych posesji po 01.01.202</w:t>
            </w:r>
            <w:r w:rsidR="008E7F4A" w:rsidRPr="0066515B">
              <w:rPr>
                <w:color w:val="000000"/>
              </w:rPr>
              <w:t>2</w:t>
            </w:r>
            <w:r w:rsidRPr="0066515B">
              <w:rPr>
                <w:color w:val="000000"/>
              </w:rPr>
              <w:t xml:space="preserve"> r. Wykonawca dostarczy pojemniki lub worki w ciągu </w:t>
            </w:r>
            <w:r w:rsidR="008E7F4A" w:rsidRPr="0066515B">
              <w:rPr>
                <w:color w:val="000000"/>
              </w:rPr>
              <w:t>7</w:t>
            </w:r>
            <w:r w:rsidRPr="0066515B">
              <w:rPr>
                <w:color w:val="000000"/>
              </w:rPr>
              <w:t xml:space="preserve"> dni od dnia zgłoszenia przez Zamawiającego. Na potwierdzenie dostarczenia pojemników lub worków Wykonawca przedłoży Zamawiającemu potwierdzenia od właścicieli nieruchomości opatrzone datą  przekazania i podpisem właściciela bądź jego przedstawiciela.</w:t>
            </w:r>
            <w:r w:rsidRPr="0066515B">
              <w:t xml:space="preserve"> </w:t>
            </w:r>
            <w:r w:rsidRPr="0066515B">
              <w:br/>
              <w:t xml:space="preserve">3./ </w:t>
            </w:r>
            <w:r w:rsidRPr="0066515B">
              <w:rPr>
                <w:color w:val="000000"/>
              </w:rPr>
              <w:t>W przypadku dostarczonych pojemników do mieszkańców Gminy Nielisz przez Wykonawcę, na uzasadniony wniosek właściciela nieruchomości ( dotyczący zmiany liczby osób zamieszkujących daną nieruchomość) Wykonawca ma dokonać nieodpłatnie wymiany pojemnika na mniejszy lub większy w terminie 3 dni roboczych. O każdej wymianie Wykonawca zobowiązany jest powiadomić Zamawiającego.</w:t>
            </w:r>
          </w:p>
          <w:p w14:paraId="2A323CCA" w14:textId="5FDF7F82" w:rsidR="0064622A" w:rsidRPr="0066515B" w:rsidRDefault="0064622A">
            <w:pPr>
              <w:pStyle w:val="Zawartotabeli"/>
            </w:pPr>
            <w:r w:rsidRPr="0066515B">
              <w:t>4/. Wykonawca zobowiązany jest do odbioru w I kwartale 202</w:t>
            </w:r>
            <w:r w:rsidR="008E7F4A" w:rsidRPr="0066515B">
              <w:t>2</w:t>
            </w:r>
            <w:r w:rsidRPr="0066515B">
              <w:t xml:space="preserve"> r. odpadów selektywnie zebranych w workach, które właściciel nieruchomości otrzymał od poprzedniego Wykonawcy usługi.</w:t>
            </w:r>
            <w:r w:rsidRPr="0066515B">
              <w:br/>
              <w:t xml:space="preserve">5/. Odbiór odpadów ma się odbyć z przed wszystkich nieruchomości również tych trudno dostępnych w  godz. 7 : 00 – 20 :00 zgodnie z zatwierdzonym przez Zamawiającego harmonogramem. W przypadku wystąpienia niekorzystnych warunków atmosferycznych bądź </w:t>
            </w:r>
            <w:r w:rsidRPr="0066515B">
              <w:lastRenderedPageBreak/>
              <w:t>drogowych uniemożliwiających odbiór w przewidzianym terminie, Wykonawca poinformuje o tym fakcie Zamawiającego a następnie odbierze je w najbliższym możliwym terminie po wcześniejszym powiadomieniu mieszkańców. Wykonawca ma obowiązek zorganizować odbiór odpadów tak by następował on regularnie, bez zakłóceń i w pełnym zakresie. Wykonawca ze względu na charakter terenu, powinien posiadać samochód przystosowany do odbioru odpadów komunalnych z możliwością wjazdu na drogi o szerokości ok. 3,0 m i o ładowności do 3,5 ton.</w:t>
            </w:r>
          </w:p>
          <w:p w14:paraId="6452D6D7" w14:textId="77777777" w:rsidR="0064622A" w:rsidRPr="0066515B" w:rsidRDefault="0064622A">
            <w:pPr>
              <w:pStyle w:val="Zawartotabeli"/>
            </w:pPr>
            <w:r w:rsidRPr="0066515B">
              <w:t xml:space="preserve">6/. Wykonawca przy każdorazowym odbiorze zapełnionych worków przeznaczonych do selektywnej  zbiorki odpadów komunalnych pozostawi nowe worki w ilości i rodzaju odpowiadającym odebranym workom, przy czym przed pierwszym odbiorem odpadów komunalnych Wykonawca wyposaży każdą nieruchomość po 3 worki każdego koloru.   </w:t>
            </w:r>
          </w:p>
          <w:p w14:paraId="5908DE8E" w14:textId="77777777" w:rsidR="0064622A" w:rsidRPr="0066515B" w:rsidRDefault="0064622A">
            <w:pPr>
              <w:pStyle w:val="Zawartotabeli"/>
            </w:pPr>
            <w:r w:rsidRPr="0066515B">
              <w:t>7/. Wykonawca dostarczy w ciągu 14 dni do siedziby Zamawiającego worki przeznaczone do  zbiórki odpadów komunalnych po telefonicznym zgłoszeniu przez Zamawiającego – na każdy rodzaj odpadów selektywnie zebranych, które będą wydawane właścicielom nieruchomości w miarę potrzeb.</w:t>
            </w:r>
          </w:p>
          <w:p w14:paraId="444ECF5E" w14:textId="6F2D750E" w:rsidR="0064622A" w:rsidRPr="0066515B" w:rsidRDefault="0064622A">
            <w:pPr>
              <w:pStyle w:val="Zawartotabeli"/>
            </w:pPr>
            <w:r w:rsidRPr="0066515B">
              <w:t>8/. Wykonawca jest zobowiązany do zabrania dostawionych przy pojemnikach worków z odpadami niesegregowanymi (zmieszanymi) i poinformowania o tym fakcie Zamawiającego</w:t>
            </w:r>
            <w:r w:rsidR="00D74C80" w:rsidRPr="0066515B">
              <w:t xml:space="preserve">   </w:t>
            </w:r>
            <w:r w:rsidRPr="0066515B">
              <w:t xml:space="preserve"> ( adres i ilość dostawionych worków ) w celu przeprowadzenia kontroli ilości osób zamieszkujących nieruchomość.</w:t>
            </w:r>
          </w:p>
          <w:p w14:paraId="1E762490" w14:textId="77777777" w:rsidR="0064622A" w:rsidRPr="0066515B" w:rsidRDefault="0064622A">
            <w:pPr>
              <w:pStyle w:val="Zawartotabeli"/>
            </w:pPr>
            <w:r w:rsidRPr="0066515B">
              <w:t>9/. Każdy oferent winien zapoznać się z warunkami terenowymi związanymi z realizacją zamówienia przed przystąpieniem do składania ofert. Zamawiający będzie wymagał aby na drogach będących w zarządzie Zamawiającego i dojazdach do posesji był użyty właściwy tabor transportowy niepowodujący niszczenia dróg.</w:t>
            </w:r>
          </w:p>
          <w:p w14:paraId="356572DE" w14:textId="77777777" w:rsidR="0064622A" w:rsidRPr="0066515B" w:rsidRDefault="0064622A">
            <w:pPr>
              <w:pStyle w:val="Zawartotabeli"/>
            </w:pPr>
            <w:r w:rsidRPr="0066515B">
              <w:t>10/.</w:t>
            </w:r>
            <w:r w:rsidRPr="0066515B">
              <w:rPr>
                <w:rStyle w:val="Domylnaczcionkaakapitu1"/>
                <w:color w:val="000000"/>
              </w:rPr>
              <w:t>Wykonawca jest zobowiązany do porządkowania terenu zanieczyszczonego odpadami komunalnymi i innymi zanieczyszczeniami wysypanymi z pojemników, kontenerów, worków, pojazdów w trakcie realizacji usługi wywozu.</w:t>
            </w:r>
            <w:r w:rsidRPr="0066515B">
              <w:br/>
              <w:t xml:space="preserve">11/. Wykonawca prowadzący zbiórkę odpadów komunalnych z terenu Gminy Nielisz  jest zobowiązany do kontroli poprawności segregowania odpadów przez mieszkańców gminy. W przypadku stwierdzenia podczas odbioru odpadów, że właściciel nieruchomości nie prowadzi prawidłowo czynności w zakresie segregacji, Wykonawca zobowiązany jest przyjąć odpady jako niesegregowane ( zmieszane) odpady komunalne i niezwłocznie powiadomić Zamawiającego oraz właściciela nieruchomości w terminie nie później niż w ciągu  </w:t>
            </w:r>
            <w:r w:rsidRPr="0066515B">
              <w:rPr>
                <w:rStyle w:val="Domylnaczcionkaakapitu1"/>
                <w:color w:val="000000"/>
              </w:rPr>
              <w:t>3</w:t>
            </w:r>
            <w:r w:rsidRPr="0066515B">
              <w:t xml:space="preserve"> dni od dnia zaistnienia opisanej powyżej sytuacji. Do informacji Wykonawca zobowiązany będzie załączyć dokumentację: nagranie wykonane kamerą,  dokumentację fotograficzną lub protokół z zaistnienia takiego zdarzenia. Z dokumentacji musi jednoznacznie wynikać, jakiej dotyczy nieruchomości, w jakim dniu i o jakiej godzinie doszło do ustalenia w/w zdarzenia.</w:t>
            </w:r>
          </w:p>
          <w:p w14:paraId="0FF47E3A" w14:textId="77777777" w:rsidR="0064622A" w:rsidRPr="0066515B" w:rsidRDefault="0064622A">
            <w:pPr>
              <w:pStyle w:val="Zawartotabeli"/>
            </w:pPr>
            <w:r w:rsidRPr="0066515B">
              <w:t>12/.</w:t>
            </w:r>
            <w:r w:rsidRPr="0066515B">
              <w:rPr>
                <w:rStyle w:val="Domylnaczcionkaakapitu1"/>
                <w:color w:val="000000"/>
              </w:rPr>
              <w:t>Wykonawca jest zobowiązany do realizacji reklamacji (nieodebranie z nieruchomości odpadów zgodnie z harmonogramem, niedostarczenie worków na odpady segregowane itp.) w przeciągu 48 godzin od otrzymania zawiadomienia e-mailem lub telefonicznie od Zamawiającego. Wykonanie reklamacji należy niezwłocznie potwierdzić e-mailem lub telefonicznie na adres Zamawiającego.</w:t>
            </w:r>
            <w:r w:rsidRPr="0066515B">
              <w:br/>
              <w:t>13/. Wykonawca  odpowiada za informowanie mieszkańców o zasadach i terminach odbierania poszczególnych rodzajów odpadów oraz dystrybucję innych dokumentów związanych z Systemem Gospodarki Odpadami w gminie Nielisz, o ile nie wymagają one potwierdzenia odbioru.</w:t>
            </w:r>
            <w:r w:rsidRPr="0066515B">
              <w:br/>
              <w:t xml:space="preserve">14/. Wykonawca odpowiada za standard techniczny i sanitarny wykonywania usług oraz ochrony środowiska w szczególności: </w:t>
            </w:r>
          </w:p>
          <w:p w14:paraId="319B26CD" w14:textId="77777777" w:rsidR="0064622A" w:rsidRPr="0066515B" w:rsidRDefault="0064622A">
            <w:pPr>
              <w:pStyle w:val="Zawartotabeli"/>
            </w:pPr>
            <w:r w:rsidRPr="0066515B">
              <w:t>a)zobowiązany jest do zapewnienia, aby pojazdy i pojemniki były zabezpieczone przed niekontrolowanym wydostaniem się na zewnątrz odpadów, podczas ich gromadzenia, przeładunku, a także transportu,</w:t>
            </w:r>
          </w:p>
          <w:p w14:paraId="282C5500" w14:textId="77777777" w:rsidR="0064622A" w:rsidRPr="0066515B" w:rsidRDefault="0064622A">
            <w:pPr>
              <w:pStyle w:val="Zawartotabeli"/>
            </w:pPr>
            <w:r w:rsidRPr="0066515B">
              <w:lastRenderedPageBreak/>
              <w:t>b) odpowiada za stan techniczny i sanitarny pojemników do gromadzenia odpadów komunalnych i ponosi odpowiedzialność za zniszczenie lub uszkodzenie pojemników należących do właściciela nieruchomości powstałych w związku z realizacją przedmiotu umowy, na zasadach określonych w Kodeksie Cywilnym</w:t>
            </w:r>
          </w:p>
          <w:p w14:paraId="47C5A243" w14:textId="4A36B06D" w:rsidR="0064622A" w:rsidRPr="0066515B" w:rsidRDefault="0064622A">
            <w:pPr>
              <w:pStyle w:val="Zawartotabeli"/>
              <w:rPr>
                <w:rStyle w:val="Domylnaczcionkaakapitu1"/>
                <w:color w:val="000000"/>
              </w:rPr>
            </w:pPr>
            <w:r w:rsidRPr="0066515B">
              <w:t>15/.</w:t>
            </w:r>
            <w:r w:rsidRPr="0066515B">
              <w:rPr>
                <w:rStyle w:val="Domylnaczcionkaakapitu1"/>
                <w:color w:val="000000"/>
              </w:rPr>
              <w:t>Wykonawca zobowiązany jest do przekazywania odebranych niesegregowanych (zmieszanych) odpadów komunalnych bezpośrednio do Instalacji  Komunalnych wpisanych w planie gospodarki odpadami dla województwa lubelskiego 2022 oraz do przekazywania selektywnie zebranych odpadów komunalnych bezpośrednio lub za pośrednictwem innego zbierającego odpady do instalacji odzysku i unieszkodliwiania odpadów zgodnie z hierarchią postępowania z odpadami, o której mowa w art. 17 ustawy z dnia 14 grudnia 2012 r., o odpadach (Dz. U. z 202</w:t>
            </w:r>
            <w:r w:rsidR="00201B02" w:rsidRPr="0066515B">
              <w:rPr>
                <w:rStyle w:val="Domylnaczcionkaakapitu1"/>
                <w:color w:val="000000"/>
              </w:rPr>
              <w:t>1</w:t>
            </w:r>
            <w:r w:rsidRPr="0066515B">
              <w:rPr>
                <w:rStyle w:val="Domylnaczcionkaakapitu1"/>
                <w:color w:val="000000"/>
              </w:rPr>
              <w:t xml:space="preserve"> r. poz. 7</w:t>
            </w:r>
            <w:r w:rsidR="00201B02" w:rsidRPr="0066515B">
              <w:rPr>
                <w:rStyle w:val="Domylnaczcionkaakapitu1"/>
                <w:color w:val="000000"/>
              </w:rPr>
              <w:t>79</w:t>
            </w:r>
            <w:r w:rsidRPr="0066515B">
              <w:rPr>
                <w:rStyle w:val="Domylnaczcionkaakapitu1"/>
                <w:color w:val="000000"/>
              </w:rPr>
              <w:t xml:space="preserve"> z póź.zm.). Karty przekazania odpadów i kwity wagowe należy przedłożyć Zamawiającemu wraz z fakturą.</w:t>
            </w:r>
          </w:p>
          <w:p w14:paraId="03EEC633" w14:textId="77777777" w:rsidR="0064622A" w:rsidRPr="0066515B" w:rsidRDefault="0064622A">
            <w:pPr>
              <w:pStyle w:val="Zawartotabeli"/>
              <w:rPr>
                <w:rStyle w:val="Domylnaczcionkaakapitu1"/>
                <w:color w:val="000000"/>
              </w:rPr>
            </w:pPr>
            <w:r w:rsidRPr="0066515B">
              <w:rPr>
                <w:rStyle w:val="Domylnaczcionkaakapitu1"/>
                <w:color w:val="000000"/>
              </w:rPr>
              <w:t>16/.Dopuszcza się przekazywanie niesegregowanych (zmieszanych) odpadów komunalnych za pośrednictwem stacji przeładunkowej, o której mowa w art.23 ust. 10 ustawy z dnia 14 grudnia 2012 r. o odpadach.</w:t>
            </w:r>
          </w:p>
          <w:p w14:paraId="7A364E8B" w14:textId="77777777" w:rsidR="0064622A" w:rsidRPr="0066515B" w:rsidRDefault="0064622A">
            <w:pPr>
              <w:pStyle w:val="Zawartotabeli"/>
              <w:rPr>
                <w:rStyle w:val="Domylnaczcionkaakapitu1"/>
                <w:color w:val="000000"/>
              </w:rPr>
            </w:pPr>
            <w:r w:rsidRPr="0066515B">
              <w:rPr>
                <w:rStyle w:val="Domylnaczcionkaakapitu1"/>
                <w:color w:val="000000"/>
              </w:rPr>
              <w:t>17/.Dopuszcza się przekazywanie niesegregowanych (zmieszanych) odpadów komunalnych do termicznego przekształcenia.</w:t>
            </w:r>
          </w:p>
          <w:p w14:paraId="1070174C" w14:textId="4A8C2C32" w:rsidR="0064622A" w:rsidRPr="0066515B" w:rsidRDefault="0064622A">
            <w:pPr>
              <w:pStyle w:val="Zawartotabeli"/>
            </w:pPr>
            <w:r w:rsidRPr="0066515B">
              <w:rPr>
                <w:rStyle w:val="Domylnaczcionkaakapitu1"/>
                <w:color w:val="000000"/>
              </w:rPr>
              <w:t>18/. Zakazuje się Wykonawcy mieszania selektywnie zebranych odpadów komunalnych z niesegregowanymi (zmieszanymi )odpadami komunalnymi odbieranymi od właścicieli nieruchomości oraz selektywnie zebranych odpadów komunalnych różnych rodzajów ze sobą.</w:t>
            </w:r>
            <w:r w:rsidRPr="0066515B">
              <w:rPr>
                <w:rStyle w:val="Domylnaczcionkaakapitu1"/>
                <w:color w:val="000000"/>
              </w:rPr>
              <w:br/>
            </w:r>
            <w:r w:rsidRPr="0066515B">
              <w:t xml:space="preserve">19/. Wykonawca w formularzu ofertowym ( załącznik nr 1 do </w:t>
            </w:r>
            <w:r w:rsidR="00201B02" w:rsidRPr="0066515B">
              <w:t>S</w:t>
            </w:r>
            <w:r w:rsidRPr="0066515B">
              <w:t xml:space="preserve">WZ ) wskaże instalacje, w szczególności instalacje komunalne, do których będzie zobowiązany przekazać odebrane odpady komunalne, w przypadku niewielkiej ilości odebranych odpadów selektywnie zebranych możliwe jest wskazanie podmiotu zbierającego te odpady. </w:t>
            </w:r>
          </w:p>
          <w:p w14:paraId="373A6832" w14:textId="77777777" w:rsidR="0064622A" w:rsidRPr="0066515B" w:rsidRDefault="0064622A">
            <w:pPr>
              <w:pStyle w:val="Zawartotabeli"/>
              <w:jc w:val="both"/>
            </w:pPr>
            <w:r w:rsidRPr="0066515B">
              <w:t xml:space="preserve">20/. </w:t>
            </w:r>
            <w:r w:rsidRPr="0066515B">
              <w:rPr>
                <w:color w:val="000000"/>
              </w:rPr>
              <w:t>Wykonawca jest zobowiązany do wyposażenia Punktu Selektywnej Zbiórki Odpadów Komunalnych ( PSZOK ) znajdującego się na terenie Gminy Nielisz w pojemniki lub urządzenia do gromadzenia odpadów. W ramach usługi Wykonawca wykona wywóz i zagospodarowanie odpadów zbieranych w PSZOK każdorazowo po zgłoszeniu przez Zamawiającego.</w:t>
            </w:r>
          </w:p>
          <w:p w14:paraId="56BC18BC" w14:textId="46AFD359" w:rsidR="0064622A" w:rsidRPr="0066515B" w:rsidRDefault="0064622A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  <w:kern w:val="0"/>
                <w:lang w:val="x-none" w:eastAsia="x-none"/>
              </w:rPr>
            </w:pPr>
            <w:r w:rsidRPr="0066515B">
              <w:rPr>
                <w:rFonts w:ascii="Times New Roman" w:hAnsi="Times New Roman" w:cs="Times New Roman"/>
              </w:rPr>
              <w:t>21/.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 xml:space="preserve"> Podane w SWZ i formularzu ofertowym zestawienie ilości poszczególnych rodzajów odpadów mają charakter szacunkowy i służą do porównania złożonych ofert. Zamawiający zastrzega sobie prawo do niewykorzystania ilości wskazanych w zestawieniu, na co Wykonawca wyraża zgodę i nie będzie dochodził roszczeń z tego tytułu.</w:t>
            </w:r>
          </w:p>
          <w:p w14:paraId="12C46907" w14:textId="77777777" w:rsidR="00796B4F" w:rsidRPr="0066515B" w:rsidRDefault="0064622A" w:rsidP="00796B4F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  <w:kern w:val="0"/>
                <w:lang w:val="x-none" w:eastAsia="x-none"/>
              </w:rPr>
            </w:pPr>
            <w:r w:rsidRPr="0066515B">
              <w:rPr>
                <w:rFonts w:ascii="Times New Roman" w:hAnsi="Times New Roman" w:cs="Times New Roman"/>
                <w:kern w:val="0"/>
                <w:lang w:eastAsia="x-none"/>
              </w:rPr>
              <w:t>22/.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 xml:space="preserve"> Częstotliwość odbioru odpadów </w:t>
            </w:r>
            <w:r w:rsidRPr="0066515B">
              <w:rPr>
                <w:rFonts w:ascii="Times New Roman" w:hAnsi="Times New Roman" w:cs="Times New Roman"/>
                <w:kern w:val="0"/>
                <w:lang w:eastAsia="x-none"/>
              </w:rPr>
              <w:t xml:space="preserve">z PSZOK-u 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>będzie uzależniona od napełnienia pojemników lub kontenerów. Zamawiający poinformuje telefonicznie lub drogą elektroniczną o konieczności odebrania odpadów z konkretnych pojemników. Czas dokonania odbioru odpadów przez Wykonawcę wynosi maksymalnie 3 dni robocze od dokonania zgłoszenia.</w:t>
            </w:r>
          </w:p>
          <w:p w14:paraId="69C2894E" w14:textId="1AC71E60" w:rsidR="00796B4F" w:rsidRPr="0066515B" w:rsidRDefault="0064622A" w:rsidP="00796B4F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6515B">
              <w:rPr>
                <w:rFonts w:ascii="Times New Roman" w:hAnsi="Times New Roman" w:cs="Times New Roman"/>
                <w:kern w:val="0"/>
                <w:lang w:eastAsia="x-none"/>
              </w:rPr>
              <w:t>23/.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 xml:space="preserve"> </w:t>
            </w:r>
            <w:r w:rsidR="00796B4F" w:rsidRPr="0066515B">
              <w:rPr>
                <w:rFonts w:ascii="Times New Roman" w:hAnsi="Times New Roman" w:cs="Times New Roman"/>
              </w:rPr>
              <w:t xml:space="preserve"> Wykonawca zobowiązany jest do prowadzenia i przekazywania miesięcznych raportów,       w terminie do 7 dnia następnego miesiąca, zawierających w szczególności informację o: </w:t>
            </w:r>
          </w:p>
          <w:p w14:paraId="79E0260C" w14:textId="375C888F" w:rsidR="00796B4F" w:rsidRPr="0066515B" w:rsidRDefault="00796B4F" w:rsidP="00796B4F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6515B">
              <w:rPr>
                <w:rFonts w:ascii="Times New Roman" w:hAnsi="Times New Roman" w:cs="Times New Roman"/>
              </w:rPr>
              <w:t>a) rodzajach odpadów (nazwa i kod) i ich ilości – odebranych od właścicieli nieruchomości zamieszkałych z terenu gminy, oraz z Punktu Selektywnej Zbiórki Odpadów Komunalnych</w:t>
            </w:r>
            <w:r w:rsidR="003739C3" w:rsidRPr="0066515B">
              <w:rPr>
                <w:rFonts w:ascii="Times New Roman" w:hAnsi="Times New Roman" w:cs="Times New Roman"/>
              </w:rPr>
              <w:t>,</w:t>
            </w:r>
            <w:r w:rsidRPr="0066515B">
              <w:rPr>
                <w:rFonts w:ascii="Times New Roman" w:hAnsi="Times New Roman" w:cs="Times New Roman"/>
              </w:rPr>
              <w:t xml:space="preserve"> </w:t>
            </w:r>
          </w:p>
          <w:p w14:paraId="356078E2" w14:textId="77777777" w:rsidR="003739C3" w:rsidRPr="0066515B" w:rsidRDefault="00796B4F" w:rsidP="00796B4F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6515B">
              <w:rPr>
                <w:rFonts w:ascii="Times New Roman" w:hAnsi="Times New Roman" w:cs="Times New Roman"/>
              </w:rPr>
              <w:t xml:space="preserve"> b ) sposobach zagospodarowania odebranych odpadów, wraz ze wskazaniem nazwy i adresu instalacji, do których zostały one przekazane</w:t>
            </w:r>
            <w:r w:rsidR="003739C3" w:rsidRPr="0066515B">
              <w:rPr>
                <w:rFonts w:ascii="Times New Roman" w:hAnsi="Times New Roman" w:cs="Times New Roman"/>
              </w:rPr>
              <w:t>,</w:t>
            </w:r>
            <w:r w:rsidRPr="0066515B">
              <w:rPr>
                <w:rFonts w:ascii="Times New Roman" w:hAnsi="Times New Roman" w:cs="Times New Roman"/>
              </w:rPr>
              <w:t xml:space="preserve">  </w:t>
            </w:r>
            <w:r w:rsidRPr="0066515B">
              <w:rPr>
                <w:rFonts w:ascii="Times New Roman" w:hAnsi="Times New Roman" w:cs="Times New Roman"/>
              </w:rPr>
              <w:tab/>
            </w:r>
            <w:r w:rsidRPr="0066515B">
              <w:rPr>
                <w:rFonts w:ascii="Times New Roman" w:hAnsi="Times New Roman" w:cs="Times New Roman"/>
              </w:rPr>
              <w:br/>
              <w:t>c) ewidencji nieruchomości, z których</w:t>
            </w:r>
            <w:r w:rsidR="003739C3" w:rsidRPr="0066515B">
              <w:rPr>
                <w:rFonts w:ascii="Times New Roman" w:hAnsi="Times New Roman" w:cs="Times New Roman"/>
              </w:rPr>
              <w:t xml:space="preserve"> nie</w:t>
            </w:r>
            <w:r w:rsidRPr="0066515B">
              <w:rPr>
                <w:rFonts w:ascii="Times New Roman" w:hAnsi="Times New Roman" w:cs="Times New Roman"/>
              </w:rPr>
              <w:t xml:space="preserve"> zostały odebrane selektywnie zbierane odpady i odpady zmieszane</w:t>
            </w:r>
            <w:r w:rsidR="003739C3" w:rsidRPr="0066515B">
              <w:rPr>
                <w:rFonts w:ascii="Times New Roman" w:hAnsi="Times New Roman" w:cs="Times New Roman"/>
              </w:rPr>
              <w:t>,</w:t>
            </w:r>
          </w:p>
          <w:p w14:paraId="7D4BD24C" w14:textId="6CD3C18B" w:rsidR="00796B4F" w:rsidRPr="0066515B" w:rsidRDefault="003739C3" w:rsidP="00C25DD5">
            <w:pPr>
              <w:pStyle w:val="NormalnyWeb"/>
              <w:spacing w:before="0" w:after="0"/>
              <w:jc w:val="both"/>
            </w:pPr>
            <w:r w:rsidRPr="0066515B">
              <w:t xml:space="preserve">d) </w:t>
            </w:r>
            <w:r w:rsidR="00796B4F" w:rsidRPr="0066515B">
              <w:t xml:space="preserve"> </w:t>
            </w:r>
            <w:r w:rsidRPr="0066515B">
              <w:rPr>
                <w:color w:val="000000"/>
              </w:rPr>
              <w:t>wskazanie nieruchomości, na których odpady zbierane są w sposób niezgodny z regulaminem utrzymania czystości i porządku na terenie gminy.</w:t>
            </w:r>
          </w:p>
          <w:p w14:paraId="7EA34655" w14:textId="19BF0942" w:rsidR="0064622A" w:rsidRPr="0066515B" w:rsidRDefault="0064622A" w:rsidP="00796B4F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  <w:kern w:val="0"/>
                <w:lang w:val="x-none" w:eastAsia="x-none"/>
              </w:rPr>
            </w:pPr>
            <w:r w:rsidRPr="0066515B">
              <w:rPr>
                <w:rFonts w:ascii="Times New Roman" w:hAnsi="Times New Roman" w:cs="Times New Roman"/>
                <w:kern w:val="0"/>
                <w:lang w:eastAsia="x-none"/>
              </w:rPr>
              <w:t>24./</w:t>
            </w:r>
            <w:r w:rsidR="00796B4F" w:rsidRPr="0066515B">
              <w:rPr>
                <w:rFonts w:ascii="Times New Roman" w:hAnsi="Times New Roman" w:cs="Times New Roman"/>
                <w:kern w:val="0"/>
                <w:lang w:eastAsia="x-none"/>
              </w:rPr>
              <w:t>Raporty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>, o których mowa wraz z kartami przekazania odpadów (jeśli dotyczą) musz</w:t>
            </w:r>
            <w:r w:rsidRPr="0066515B">
              <w:rPr>
                <w:rFonts w:ascii="Times New Roman" w:hAnsi="Times New Roman" w:cs="Times New Roman"/>
                <w:kern w:val="0"/>
                <w:lang w:eastAsia="x-none"/>
              </w:rPr>
              <w:t>ą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 xml:space="preserve"> być przekazane do siedziby Zamawiającego, do </w:t>
            </w:r>
            <w:r w:rsidR="003739C3" w:rsidRPr="0066515B">
              <w:rPr>
                <w:rFonts w:ascii="Times New Roman" w:hAnsi="Times New Roman" w:cs="Times New Roman"/>
                <w:kern w:val="0"/>
                <w:lang w:eastAsia="x-none"/>
              </w:rPr>
              <w:t>7</w:t>
            </w:r>
            <w:r w:rsidRPr="0066515B">
              <w:rPr>
                <w:rFonts w:ascii="Times New Roman" w:hAnsi="Times New Roman" w:cs="Times New Roman"/>
                <w:kern w:val="0"/>
                <w:lang w:val="x-none" w:eastAsia="x-none"/>
              </w:rPr>
              <w:t xml:space="preserve"> dnia każdego miesiąca następującego po miesiącu, którego dotyczą, w formie papierowej oraz elektronicznej i podpisane przez Wykonawcę.</w:t>
            </w:r>
          </w:p>
          <w:p w14:paraId="58CE2B61" w14:textId="1CAD0132" w:rsidR="0064622A" w:rsidRPr="0066515B" w:rsidRDefault="0064622A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jc w:val="both"/>
              <w:rPr>
                <w:kern w:val="0"/>
                <w:lang w:val="x-none" w:eastAsia="x-none"/>
              </w:rPr>
            </w:pPr>
            <w:r w:rsidRPr="0066515B">
              <w:rPr>
                <w:kern w:val="0"/>
                <w:lang w:eastAsia="x-none"/>
              </w:rPr>
              <w:t>25/.</w:t>
            </w:r>
            <w:r w:rsidR="00796B4F" w:rsidRPr="0066515B">
              <w:rPr>
                <w:kern w:val="0"/>
                <w:lang w:eastAsia="x-none"/>
              </w:rPr>
              <w:t>Raporty</w:t>
            </w:r>
            <w:r w:rsidRPr="0066515B">
              <w:rPr>
                <w:kern w:val="0"/>
                <w:lang w:val="x-none" w:eastAsia="x-none"/>
              </w:rPr>
              <w:t xml:space="preserve"> będą podstawą do wystawienia faktury za wykonaną usługę.</w:t>
            </w:r>
          </w:p>
          <w:p w14:paraId="786315DB" w14:textId="62C9A2BB" w:rsidR="0064622A" w:rsidRPr="0066515B" w:rsidRDefault="0064622A">
            <w:pPr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jc w:val="both"/>
              <w:rPr>
                <w:kern w:val="0"/>
                <w:lang w:val="x-none" w:eastAsia="x-none"/>
              </w:rPr>
            </w:pPr>
            <w:r w:rsidRPr="0066515B">
              <w:rPr>
                <w:kern w:val="0"/>
                <w:lang w:eastAsia="x-none"/>
              </w:rPr>
              <w:lastRenderedPageBreak/>
              <w:t>26/.</w:t>
            </w:r>
            <w:r w:rsidRPr="0066515B">
              <w:rPr>
                <w:kern w:val="0"/>
                <w:lang w:val="x-none" w:eastAsia="x-none"/>
              </w:rPr>
              <w:t xml:space="preserve">Przekazanie powyższych </w:t>
            </w:r>
            <w:r w:rsidR="00796B4F" w:rsidRPr="0066515B">
              <w:rPr>
                <w:kern w:val="0"/>
                <w:lang w:eastAsia="x-none"/>
              </w:rPr>
              <w:t>raportów</w:t>
            </w:r>
            <w:r w:rsidRPr="0066515B">
              <w:rPr>
                <w:kern w:val="0"/>
                <w:lang w:val="x-none" w:eastAsia="x-none"/>
              </w:rPr>
              <w:t xml:space="preserve"> nie zwalnia Wykonawcy ze złożenia sprawozdania, o którym mowa w ustawie o utrzymaniu czystości i porządku w gminach.</w:t>
            </w:r>
          </w:p>
          <w:p w14:paraId="0C4A68CD" w14:textId="24B977A1" w:rsidR="003739C3" w:rsidRPr="0066515B" w:rsidRDefault="0064622A" w:rsidP="003739C3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0" w:lineRule="atLeast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15B">
              <w:rPr>
                <w:rFonts w:ascii="Times New Roman" w:hAnsi="Times New Roman" w:cs="Times New Roman"/>
                <w:kern w:val="0"/>
                <w:lang w:eastAsia="x-none"/>
              </w:rPr>
              <w:t>27/.</w:t>
            </w:r>
            <w:r w:rsidRPr="0066515B">
              <w:rPr>
                <w:rFonts w:ascii="Times New Roman" w:hAnsi="Times New Roman" w:cs="Times New Roman"/>
                <w:color w:val="000000"/>
              </w:rPr>
              <w:t xml:space="preserve"> Wykonawca jest zobowiązany do ważenia wszystkich odebranych odpadów komunalnych na legalizowanej wadze samochodowej w miejscu przekazania ich do instalacji odpadów komunalnych celem ich dalszego zagospodarowania, zgodnego z obowiązującymi przepisami prawa oraz przekazywania dokumentacji pomiarów Zamawiającemu w okresach miesięcznych.</w:t>
            </w:r>
          </w:p>
          <w:p w14:paraId="68FA6DF0" w14:textId="42A09216" w:rsidR="0064622A" w:rsidRPr="0066515B" w:rsidRDefault="0064622A" w:rsidP="003739C3">
            <w:pPr>
              <w:pStyle w:val="Zawartotabeli"/>
              <w:rPr>
                <w:rStyle w:val="Domylnaczcionkaakapitu1"/>
                <w:color w:val="000000"/>
              </w:rPr>
            </w:pPr>
            <w:r w:rsidRPr="0066515B">
              <w:rPr>
                <w:rStyle w:val="Domylnaczcionkaakapitu1"/>
                <w:color w:val="000000"/>
              </w:rPr>
              <w:t>2</w:t>
            </w:r>
            <w:r w:rsidR="00C25DD5" w:rsidRPr="0066515B">
              <w:rPr>
                <w:rStyle w:val="Domylnaczcionkaakapitu1"/>
                <w:color w:val="000000"/>
              </w:rPr>
              <w:t>8</w:t>
            </w:r>
            <w:r w:rsidRPr="0066515B">
              <w:rPr>
                <w:rStyle w:val="Domylnaczcionkaakapitu1"/>
                <w:color w:val="000000"/>
              </w:rPr>
              <w:t>/.</w:t>
            </w:r>
            <w:r w:rsidRPr="0066515B">
              <w:rPr>
                <w:rStyle w:val="Domylnaczcionkaakapitu1"/>
                <w:color w:val="FF0000"/>
              </w:rPr>
              <w:t xml:space="preserve"> </w:t>
            </w:r>
            <w:r w:rsidRPr="0066515B">
              <w:rPr>
                <w:rStyle w:val="Domylnaczcionkaakapitu1"/>
                <w:color w:val="000000"/>
              </w:rPr>
              <w:t>Wykonawca zobowiązany jest do nieodpłatnego zainstalowania na wskazanym stanowisku komputerowym będącym własnością Zamawiającego oprogramowanie umożliwiające bieżącą kontrolę oraz trwały zapis pracy sprzętu wykorzystywanego przez Wykonawcę oraz przeszkoli w siedzibie Zamawiającego wyznaczonych pracowników Urzędu Gminy Nielisz z obsługi systemu.</w:t>
            </w:r>
          </w:p>
          <w:p w14:paraId="6A586FDE" w14:textId="71D662FF" w:rsidR="0064622A" w:rsidRPr="0066515B" w:rsidRDefault="00C25DD5">
            <w:pPr>
              <w:pStyle w:val="NormalnyWeb"/>
              <w:spacing w:before="0" w:after="0"/>
              <w:jc w:val="both"/>
            </w:pPr>
            <w:r w:rsidRPr="0066515B">
              <w:rPr>
                <w:rStyle w:val="Domylnaczcionkaakapitu1"/>
                <w:color w:val="000000"/>
              </w:rPr>
              <w:t>29</w:t>
            </w:r>
            <w:r w:rsidR="0064622A" w:rsidRPr="0066515B">
              <w:rPr>
                <w:rStyle w:val="Domylnaczcionkaakapitu1"/>
                <w:color w:val="000000"/>
              </w:rPr>
              <w:t>/. Wszystkie pojazdy do świadczenia usługi muszą być wyposażone w monitoring bazujący na systemie pozycjonowania satelitarnego, umożliwiający trwałe zapisywanie danych o położeniu pojazdu, miejscach pojazdów oraz system czujników zapisujących dane o miejscach wyładunku odpadów, system musi umożliwiać weryfikację tych danych.</w:t>
            </w:r>
          </w:p>
          <w:p w14:paraId="49EAF5BF" w14:textId="77777777" w:rsidR="00C25DD5" w:rsidRPr="0066515B" w:rsidRDefault="0064622A">
            <w:pPr>
              <w:pStyle w:val="NormalnyWeb"/>
              <w:spacing w:before="0" w:after="0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3</w:t>
            </w:r>
            <w:r w:rsidR="00C25DD5" w:rsidRPr="0066515B">
              <w:rPr>
                <w:color w:val="000000"/>
              </w:rPr>
              <w:t>0</w:t>
            </w:r>
            <w:r w:rsidRPr="0066515B">
              <w:rPr>
                <w:color w:val="000000"/>
              </w:rPr>
              <w:t xml:space="preserve">/. W przypadku stwierdzenia, że usługi wykonywane są niezgodnie z obowiązującymi przepisami Zamawiający może odmówić zapłaty i żądać ich ponownego wykonania lub odstąpić od umowy z winy Wykonawcy z naliczeniem kary umownej.  </w:t>
            </w:r>
          </w:p>
          <w:p w14:paraId="5DC89620" w14:textId="55DAAED3" w:rsidR="0064622A" w:rsidRPr="0066515B" w:rsidRDefault="0064622A">
            <w:pPr>
              <w:pStyle w:val="NormalnyWeb"/>
              <w:spacing w:before="0" w:after="0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3</w:t>
            </w:r>
            <w:r w:rsidR="00C25DD5" w:rsidRPr="0066515B">
              <w:rPr>
                <w:color w:val="000000"/>
              </w:rPr>
              <w:t>1</w:t>
            </w:r>
            <w:r w:rsidRPr="0066515B">
              <w:rPr>
                <w:color w:val="000000"/>
              </w:rPr>
              <w:t>/. Do wystawienia comiesięcznej faktury przez Wykonawcę będzie brana pod uwagę rzeczywista masa odebranych i zagospodarowanych odpadów.</w:t>
            </w:r>
          </w:p>
          <w:p w14:paraId="73343AD7" w14:textId="458FB7C9" w:rsidR="0064622A" w:rsidRPr="0066515B" w:rsidRDefault="0064622A">
            <w:pPr>
              <w:pStyle w:val="NormalnyWeb"/>
              <w:spacing w:before="0" w:after="0"/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3</w:t>
            </w:r>
            <w:r w:rsidR="00C25DD5" w:rsidRPr="0066515B">
              <w:rPr>
                <w:color w:val="000000"/>
              </w:rPr>
              <w:t>2</w:t>
            </w:r>
            <w:r w:rsidRPr="0066515B">
              <w:rPr>
                <w:color w:val="000000"/>
              </w:rPr>
              <w:t xml:space="preserve">/.Podstawę ustalenia wynagrodzenia pomiędzy Wykonawcą a Zamawiającym będzie stawka za 1 Mg odebranych odpadów komunalnych oraz 1 Mg zagospodarowanych odpadów komunalnych. </w:t>
            </w:r>
          </w:p>
          <w:p w14:paraId="35C2358E" w14:textId="1DF03F23" w:rsidR="0064622A" w:rsidRPr="0066515B" w:rsidRDefault="0064622A">
            <w:pPr>
              <w:jc w:val="both"/>
              <w:rPr>
                <w:color w:val="000000"/>
              </w:rPr>
            </w:pPr>
            <w:r w:rsidRPr="0066515B">
              <w:rPr>
                <w:color w:val="000000"/>
              </w:rPr>
              <w:t>3</w:t>
            </w:r>
            <w:r w:rsidR="00C25DD5" w:rsidRPr="0066515B">
              <w:rPr>
                <w:color w:val="000000"/>
              </w:rPr>
              <w:t>3</w:t>
            </w:r>
            <w:r w:rsidRPr="0066515B">
              <w:rPr>
                <w:color w:val="000000"/>
              </w:rPr>
              <w:t>/. Za szkody w majątku Zamawiającego lub osób trzecich spowodowane w trakcie odbioru odpadów odpowiedzialność ponosi Wykonawca.</w:t>
            </w:r>
          </w:p>
          <w:p w14:paraId="768D4E57" w14:textId="49D3B232" w:rsidR="0064622A" w:rsidRPr="0066515B" w:rsidRDefault="0064622A">
            <w:pPr>
              <w:jc w:val="both"/>
            </w:pPr>
            <w:r w:rsidRPr="0066515B">
              <w:rPr>
                <w:color w:val="000000"/>
              </w:rPr>
              <w:t>3</w:t>
            </w:r>
            <w:r w:rsidR="00C25DD5" w:rsidRPr="0066515B">
              <w:rPr>
                <w:color w:val="000000"/>
              </w:rPr>
              <w:t>4</w:t>
            </w:r>
            <w:r w:rsidRPr="0066515B">
              <w:rPr>
                <w:color w:val="000000"/>
              </w:rPr>
              <w:t xml:space="preserve">/. </w:t>
            </w:r>
            <w:r w:rsidRPr="0066515B">
              <w:t>Wykonawca jest obowiązany zgodnie z przepisami ustawy z dnia  13 września 1996 r. o utrzymaniu czystości i porządku w gminach do sporządzania sprawozdań i przekazywania ich Wójtowi Gminy Nielisz w ustawowo określonym terminie.</w:t>
            </w:r>
          </w:p>
          <w:p w14:paraId="2DBE55C0" w14:textId="77777777" w:rsidR="0066515B" w:rsidRDefault="0066515B" w:rsidP="0066515B">
            <w:pPr>
              <w:jc w:val="both"/>
            </w:pPr>
          </w:p>
          <w:p w14:paraId="45EFDF04" w14:textId="4B457C6E" w:rsidR="0066515B" w:rsidRPr="0066515B" w:rsidRDefault="0066515B" w:rsidP="0066515B">
            <w:pPr>
              <w:jc w:val="both"/>
              <w:rPr>
                <w:b/>
                <w:sz w:val="28"/>
                <w:szCs w:val="28"/>
              </w:rPr>
            </w:pPr>
            <w:r w:rsidRPr="0066515B">
              <w:rPr>
                <w:b/>
                <w:sz w:val="22"/>
                <w:szCs w:val="22"/>
              </w:rPr>
              <w:t xml:space="preserve"> </w:t>
            </w:r>
            <w:r w:rsidRPr="0066515B">
              <w:rPr>
                <w:b/>
                <w:sz w:val="28"/>
                <w:szCs w:val="28"/>
                <w:u w:val="single"/>
              </w:rPr>
              <w:t>5. Prawne uwarunkowania dotyczące odbioru i zagospodarowania odpadów</w:t>
            </w:r>
          </w:p>
          <w:p w14:paraId="50AF8549" w14:textId="3720138F" w:rsidR="0066515B" w:rsidRPr="0066515B" w:rsidRDefault="0066515B" w:rsidP="0066515B">
            <w:pPr>
              <w:jc w:val="both"/>
            </w:pPr>
            <w:r w:rsidRPr="0066515B">
              <w:t xml:space="preserve">a) Wykonawca zobowiązany jest do przestrzegania w trakcie realizacji zamówienia przepisów prawa, w szczególności takich jak: ustawa z dnia 6 marca 2018r. Prawo przedsiębiorców (tj.j. Dz.U.  2021r. poz. 162)  ustawa z dnia 14 grudnia 2012 r. o odpadach (t.j. Dz. U. z 2021 r. poz. 779), ustawa z dnia 13 września 1996 r. o utrzymaniu czystości i porządku w gminach </w:t>
            </w:r>
            <w:bookmarkStart w:id="0" w:name="__DdeLink__595_608936090"/>
            <w:r w:rsidRPr="0066515B">
              <w:t>(t.j. Dz. U. z 2021 r., poz. 888)</w:t>
            </w:r>
            <w:bookmarkEnd w:id="0"/>
            <w:r w:rsidRPr="0066515B">
              <w:t>, ustawa z dnia 27 kwietnia 2001 r. Prawo ochrony środowiska ( Dz. U. z 2020 r., poz. 1219 z późn. zm.), ustawa  z dnia 11 września 2015 r. o zużytym sprzęcie elektrycznym i elektronicznym (t.j.Dz. U. z 2020 r., poz. 1893), ustawa z dnia 24 kwietnia 2009 r. o bateriach i akumulatorach (t.j. Dz. U. z 2020 r., poz. 1850), ustawa z dnia 18 lipca 2001 r. Prawo wodne (Dz. U. z 2021 r., poz. 624 z późn. zm.), rozporządzenie Ministra Środowiska z dnia 16 czerwca 2009 r. w sprawie bezpieczeństwa i higieny pracy przy gospodarowaniu odpadami komunalnymi (Dz. U. 2009 r., nr 104 poz. 868), rozporządzenie Ministra Środowiska z dnia  9 grudnia 2014 r.           w sprawie katalogu odpadów (Dz. U. 2020r.,poz. 10), rozporządzenie Ministra Środowiska z dnia 25 maja 2012 r. w sprawie poziomów ograniczenia masy odpadów komunalnych ulegających biodegradacji przekazywanych do składowania oraz sposobu obliczania poziomu ograniczenia masy tych odpadów (Dz. U. z  2017 r., poz. 2412),</w:t>
            </w:r>
          </w:p>
          <w:p w14:paraId="7899344E" w14:textId="77777777" w:rsidR="0066515B" w:rsidRPr="0066515B" w:rsidRDefault="0066515B" w:rsidP="006651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15B">
              <w:rPr>
                <w:rFonts w:ascii="Times New Roman" w:hAnsi="Times New Roman" w:cs="Times New Roman"/>
                <w:color w:val="auto"/>
              </w:rPr>
              <w:t>b) Wykonawca sporządza sprawozdanie roczne, o którym mowa art. 9n ustawy z dnia 13 września 1996 r. o utrzymaniu czystości i porządku w gminach (t. j. Dz. U. 2021, poz. 888),</w:t>
            </w:r>
          </w:p>
          <w:p w14:paraId="28789F08" w14:textId="77777777" w:rsidR="0066515B" w:rsidRPr="0066515B" w:rsidRDefault="0066515B" w:rsidP="006651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15B">
              <w:rPr>
                <w:rFonts w:ascii="Times New Roman" w:hAnsi="Times New Roman" w:cs="Times New Roman"/>
                <w:color w:val="auto"/>
              </w:rPr>
              <w:t xml:space="preserve">i przekazuje je Zamawiającemu wraz z dokumentami sporządzanymi na potrzeby ewidencji odpadów oraz dokumentów potwierdzających osiągnięcie określonych poziomów recyklingu, przygotowania do ponownego użycia i odzysku innymi metodami oraz ograniczenia masy </w:t>
            </w:r>
            <w:r w:rsidRPr="0066515B">
              <w:rPr>
                <w:rFonts w:ascii="Times New Roman" w:hAnsi="Times New Roman" w:cs="Times New Roman"/>
                <w:color w:val="auto"/>
              </w:rPr>
              <w:lastRenderedPageBreak/>
              <w:t>odpadów komunalnych ulegających biodegradacji przekazywanych do składowania w terminie do dnia 31 stycznia za poprzedni rok kalendarzowy.</w:t>
            </w:r>
          </w:p>
          <w:p w14:paraId="3679B1C6" w14:textId="77777777" w:rsidR="0066515B" w:rsidRPr="0066515B" w:rsidRDefault="0066515B" w:rsidP="006651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515B">
              <w:rPr>
                <w:rFonts w:ascii="Times New Roman" w:hAnsi="Times New Roman" w:cs="Times New Roman"/>
                <w:color w:val="auto"/>
              </w:rPr>
      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      </w:r>
          </w:p>
          <w:p w14:paraId="3729ED8B" w14:textId="75A5D7C9" w:rsidR="0066515B" w:rsidRPr="0066515B" w:rsidRDefault="0066515B">
            <w:pPr>
              <w:tabs>
                <w:tab w:val="left" w:pos="505"/>
              </w:tabs>
              <w:jc w:val="both"/>
            </w:pPr>
          </w:p>
        </w:tc>
      </w:tr>
    </w:tbl>
    <w:p w14:paraId="62509C73" w14:textId="77777777" w:rsidR="000555CB" w:rsidRPr="0066515B" w:rsidRDefault="000555CB"/>
    <w:sectPr w:rsidR="000555CB" w:rsidRPr="0066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BCEBE78"/>
    <w:name w:val="WW8Num3"/>
    <w:lvl w:ilvl="0">
      <w:start w:val="3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hd w:val="clear" w:color="auto" w:fill="FFFF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3A335DE"/>
    <w:multiLevelType w:val="hybridMultilevel"/>
    <w:tmpl w:val="B04C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203F"/>
    <w:multiLevelType w:val="multilevel"/>
    <w:tmpl w:val="B6243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6E05451"/>
    <w:multiLevelType w:val="hybridMultilevel"/>
    <w:tmpl w:val="A13E5076"/>
    <w:lvl w:ilvl="0" w:tplc="EA509D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2A"/>
    <w:rsid w:val="000555CB"/>
    <w:rsid w:val="00201B02"/>
    <w:rsid w:val="003739C3"/>
    <w:rsid w:val="0064622A"/>
    <w:rsid w:val="0066515B"/>
    <w:rsid w:val="007626CA"/>
    <w:rsid w:val="00796B4F"/>
    <w:rsid w:val="007B7280"/>
    <w:rsid w:val="007C2D62"/>
    <w:rsid w:val="00851967"/>
    <w:rsid w:val="008A5366"/>
    <w:rsid w:val="008E052A"/>
    <w:rsid w:val="008E7F4A"/>
    <w:rsid w:val="00A06C54"/>
    <w:rsid w:val="00AA2A0F"/>
    <w:rsid w:val="00AA3829"/>
    <w:rsid w:val="00B307F3"/>
    <w:rsid w:val="00C25DD5"/>
    <w:rsid w:val="00D14B14"/>
    <w:rsid w:val="00D74C80"/>
    <w:rsid w:val="00F30EE2"/>
    <w:rsid w:val="00F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CB04"/>
  <w15:chartTrackingRefBased/>
  <w15:docId w15:val="{918F6B06-F9D2-4133-8E16-FCBC2A6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2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4622A"/>
    <w:pPr>
      <w:spacing w:before="280" w:after="280"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64622A"/>
    <w:rPr>
      <w:kern w:val="2"/>
      <w:sz w:val="24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4622A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Zawartotabeli">
    <w:name w:val="Zawartość tabeli"/>
    <w:basedOn w:val="Normalny"/>
    <w:rsid w:val="0064622A"/>
    <w:pPr>
      <w:suppressLineNumbers/>
    </w:pPr>
  </w:style>
  <w:style w:type="character" w:customStyle="1" w:styleId="Domylnaczcionkaakapitu1">
    <w:name w:val="Domyślna czcionka akapitu1"/>
    <w:rsid w:val="0064622A"/>
  </w:style>
  <w:style w:type="paragraph" w:customStyle="1" w:styleId="Default">
    <w:name w:val="Default"/>
    <w:rsid w:val="0066515B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3746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Dudek</dc:creator>
  <cp:keywords/>
  <dc:description/>
  <cp:lastModifiedBy>Ewa Dudek</cp:lastModifiedBy>
  <cp:revision>12</cp:revision>
  <cp:lastPrinted>2021-10-22T09:14:00Z</cp:lastPrinted>
  <dcterms:created xsi:type="dcterms:W3CDTF">2021-10-22T08:47:00Z</dcterms:created>
  <dcterms:modified xsi:type="dcterms:W3CDTF">2021-11-03T14:22:00Z</dcterms:modified>
</cp:coreProperties>
</file>